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E3062" w14:textId="0F525646" w:rsidR="00564DE8" w:rsidRDefault="00DC75E2" w:rsidP="0069564A">
      <w:pPr>
        <w:pStyle w:val="Hoofdtekst"/>
        <w:jc w:val="center"/>
        <w:outlineLvl w:val="0"/>
        <w:rPr>
          <w:rFonts w:ascii="Times New Roman" w:hAnsi="Times New Roman" w:cs="Times New Roman"/>
          <w:sz w:val="24"/>
          <w:szCs w:val="24"/>
          <w:lang w:val="en-US"/>
        </w:rPr>
      </w:pPr>
      <w:r w:rsidRPr="003450F1">
        <w:rPr>
          <w:rFonts w:ascii="Times New Roman" w:hAnsi="Times New Roman" w:cs="Times New Roman"/>
          <w:bCs/>
          <w:noProof/>
          <w:sz w:val="24"/>
          <w:szCs w:val="24"/>
          <w:lang w:val="pl-PL" w:eastAsia="pl-PL"/>
        </w:rPr>
        <mc:AlternateContent>
          <mc:Choice Requires="wps">
            <w:drawing>
              <wp:anchor distT="152400" distB="152400" distL="152400" distR="152400" simplePos="0" relativeHeight="251659264" behindDoc="0" locked="0" layoutInCell="1" allowOverlap="1" wp14:anchorId="7E9C33FF" wp14:editId="41B7414E">
                <wp:simplePos x="0" y="0"/>
                <wp:positionH relativeFrom="margin">
                  <wp:align>left</wp:align>
                </wp:positionH>
                <wp:positionV relativeFrom="page">
                  <wp:posOffset>866140</wp:posOffset>
                </wp:positionV>
                <wp:extent cx="6119495" cy="1029970"/>
                <wp:effectExtent l="0" t="0" r="14605" b="17780"/>
                <wp:wrapTopAndBottom distT="152400" distB="152400"/>
                <wp:docPr id="1" name="officeArt object"/>
                <wp:cNvGraphicFramePr/>
                <a:graphic xmlns:a="http://schemas.openxmlformats.org/drawingml/2006/main">
                  <a:graphicData uri="http://schemas.microsoft.com/office/word/2010/wordprocessingShape">
                    <wps:wsp>
                      <wps:cNvSpPr/>
                      <wps:spPr>
                        <a:xfrm>
                          <a:off x="0" y="0"/>
                          <a:ext cx="6119495" cy="1030406"/>
                        </a:xfrm>
                        <a:prstGeom prst="rect">
                          <a:avLst/>
                        </a:prstGeom>
                        <a:noFill/>
                        <a:ln w="12700" cap="flat">
                          <a:solidFill>
                            <a:srgbClr val="7F7F7F"/>
                          </a:solidFill>
                          <a:prstDash val="solid"/>
                          <a:miter lim="400000"/>
                        </a:ln>
                        <a:effectLst/>
                      </wps:spPr>
                      <wps:txbx>
                        <w:txbxContent>
                          <w:p w14:paraId="09ECA2EC" w14:textId="6334BB45" w:rsidR="00871E84" w:rsidRPr="009038C9" w:rsidRDefault="00871E84" w:rsidP="00005C3C">
                            <w:pPr>
                              <w:pStyle w:val="Hoofdtekst"/>
                              <w:jc w:val="center"/>
                              <w:rPr>
                                <w:rFonts w:ascii="Times New Roman" w:hAnsi="Times New Roman" w:cs="Times New Roman"/>
                                <w:sz w:val="24"/>
                                <w:szCs w:val="24"/>
                                <w:lang w:val="en-US"/>
                              </w:rPr>
                            </w:pPr>
                            <w:r w:rsidRPr="009038C9">
                              <w:rPr>
                                <w:rFonts w:ascii="Times New Roman" w:hAnsi="Times New Roman" w:cs="Times New Roman"/>
                                <w:sz w:val="24"/>
                                <w:szCs w:val="24"/>
                                <w:lang w:val="en-US"/>
                              </w:rPr>
                              <w:t>The cooperation of Internet and other service providers with judicial authorities</w:t>
                            </w:r>
                          </w:p>
                          <w:p w14:paraId="5632DDB9" w14:textId="77777777" w:rsidR="00871E84" w:rsidRPr="009038C9" w:rsidRDefault="00871E84" w:rsidP="00005C3C">
                            <w:pPr>
                              <w:pStyle w:val="Hoofdtekst"/>
                              <w:jc w:val="center"/>
                              <w:rPr>
                                <w:rFonts w:ascii="Times New Roman" w:hAnsi="Times New Roman" w:cs="Times New Roman"/>
                                <w:sz w:val="24"/>
                                <w:szCs w:val="24"/>
                                <w:lang w:val="en-US"/>
                              </w:rPr>
                            </w:pPr>
                          </w:p>
                          <w:p w14:paraId="7870DF91" w14:textId="77777777" w:rsidR="00871E84" w:rsidRDefault="00871E84" w:rsidP="00005C3C">
                            <w:pPr>
                              <w:pStyle w:val="Hoofdtekst"/>
                              <w:jc w:val="center"/>
                              <w:rPr>
                                <w:rFonts w:ascii="Times New Roman" w:hAnsi="Times New Roman" w:cs="Times New Roman"/>
                                <w:sz w:val="24"/>
                                <w:szCs w:val="24"/>
                              </w:rPr>
                            </w:pPr>
                            <w:r w:rsidRPr="009038C9">
                              <w:rPr>
                                <w:rFonts w:ascii="Times New Roman" w:hAnsi="Times New Roman" w:cs="Times New Roman"/>
                                <w:sz w:val="24"/>
                                <w:szCs w:val="24"/>
                              </w:rPr>
                              <w:t>National report on Luxembourg</w:t>
                            </w:r>
                          </w:p>
                          <w:p w14:paraId="0D1F1480" w14:textId="77777777" w:rsidR="00DC75E2" w:rsidRDefault="00DC75E2" w:rsidP="00005C3C">
                            <w:pPr>
                              <w:pStyle w:val="Hoofdtekst"/>
                              <w:jc w:val="center"/>
                              <w:rPr>
                                <w:rFonts w:ascii="Times New Roman" w:hAnsi="Times New Roman" w:cs="Times New Roman"/>
                                <w:sz w:val="24"/>
                                <w:szCs w:val="24"/>
                              </w:rPr>
                            </w:pPr>
                          </w:p>
                          <w:p w14:paraId="3394947B" w14:textId="77777777" w:rsidR="00DC75E2" w:rsidRDefault="00DC75E2" w:rsidP="00DC75E2">
                            <w:pPr>
                              <w:jc w:val="center"/>
                              <w:rPr>
                                <w:rFonts w:eastAsiaTheme="minorHAnsi"/>
                                <w:sz w:val="20"/>
                              </w:rPr>
                            </w:pPr>
                            <w:r>
                              <w:rPr>
                                <w:rFonts w:eastAsiaTheme="minorHAnsi"/>
                                <w:sz w:val="20"/>
                              </w:rPr>
                              <w:t xml:space="preserve">Prevention of and Fight against Crime </w:t>
                            </w:r>
                            <w:proofErr w:type="spellStart"/>
                            <w:r>
                              <w:rPr>
                                <w:rFonts w:eastAsiaTheme="minorHAnsi"/>
                                <w:sz w:val="20"/>
                              </w:rPr>
                              <w:t>Programme</w:t>
                            </w:r>
                            <w:proofErr w:type="spellEnd"/>
                            <w:r>
                              <w:rPr>
                                <w:rFonts w:eastAsiaTheme="minorHAnsi"/>
                                <w:sz w:val="20"/>
                              </w:rPr>
                              <w:t xml:space="preserve"> of the European Union, ISEC </w:t>
                            </w:r>
                            <w:proofErr w:type="spellStart"/>
                            <w:r>
                              <w:rPr>
                                <w:rFonts w:eastAsiaTheme="minorHAnsi"/>
                                <w:sz w:val="20"/>
                              </w:rPr>
                              <w:t>Programme</w:t>
                            </w:r>
                            <w:proofErr w:type="spellEnd"/>
                          </w:p>
                          <w:p w14:paraId="2CC844F3" w14:textId="77777777" w:rsidR="00564DE8" w:rsidRDefault="00564DE8" w:rsidP="00005C3C">
                            <w:pPr>
                              <w:pStyle w:val="Hoofdtekst"/>
                              <w:jc w:val="center"/>
                              <w:rPr>
                                <w:rFonts w:ascii="Times New Roman" w:hAnsi="Times New Roman" w:cs="Times New Roman"/>
                                <w:sz w:val="24"/>
                                <w:szCs w:val="24"/>
                              </w:rPr>
                            </w:pPr>
                          </w:p>
                          <w:p w14:paraId="1B8B77E3" w14:textId="77777777" w:rsidR="00E05493" w:rsidRPr="009038C9" w:rsidRDefault="00E05493" w:rsidP="00005C3C">
                            <w:pPr>
                              <w:pStyle w:val="Hoofdtekst"/>
                              <w:jc w:val="center"/>
                              <w:rPr>
                                <w:rFonts w:ascii="Times New Roman" w:hAnsi="Times New Roman" w:cs="Times New Roman"/>
                                <w:sz w:val="24"/>
                                <w:szCs w:val="24"/>
                              </w:rPr>
                            </w:pPr>
                          </w:p>
                          <w:p w14:paraId="4842C74B" w14:textId="42B3E1DD" w:rsidR="00871E84" w:rsidRDefault="00871E84" w:rsidP="001A711E">
                            <w:pPr>
                              <w:pStyle w:val="Hoofdtekst"/>
                              <w:jc w:val="center"/>
                            </w:pPr>
                          </w:p>
                          <w:p w14:paraId="44E45DE4" w14:textId="77777777" w:rsidR="00871E84" w:rsidRDefault="00871E84" w:rsidP="001A711E">
                            <w:pPr>
                              <w:pStyle w:val="Hoofdtekst"/>
                              <w:jc w:val="center"/>
                            </w:pP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left:0;text-align:left;margin-left:0;margin-top:68.2pt;width:481.85pt;height:81.1pt;z-index:251659264;visibility:visible;mso-wrap-style:square;mso-height-percent:0;mso-wrap-distance-left:12pt;mso-wrap-distance-top:12pt;mso-wrap-distance-right:12pt;mso-wrap-distance-bottom:12pt;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" filled="f" strokecolor="#7f7f7f" strokeweight="1pt">
                <v:stroke miterlimit="4"/>
                <v:textbox inset="0,0,0,0">
                  <w:txbxContent>
                    <w:p w14:paraId="09ECA2EC" w14:textId="6334BB45" w:rsidR="00871E84" w:rsidRPr="009038C9" w:rsidRDefault="00871E84" w:rsidP="00005C3C">
                      <w:pPr>
                        <w:pStyle w:val="Hoofdtekst"/>
                        <w:jc w:val="center"/>
                        <w:rPr>
                          <w:rFonts w:ascii="Times New Roman" w:hAnsi="Times New Roman" w:cs="Times New Roman"/>
                          <w:sz w:val="24"/>
                          <w:szCs w:val="24"/>
                          <w:lang w:val="en-US"/>
                        </w:rPr>
                      </w:pPr>
                      <w:r w:rsidRPr="009038C9">
                        <w:rPr>
                          <w:rFonts w:ascii="Times New Roman" w:hAnsi="Times New Roman" w:cs="Times New Roman"/>
                          <w:sz w:val="24"/>
                          <w:szCs w:val="24"/>
                          <w:lang w:val="en-US"/>
                        </w:rPr>
                        <w:t>The cooperation of Internet and other service providers with judicial authorities</w:t>
                      </w:r>
                    </w:p>
                    <w:p w14:paraId="5632DDB9" w14:textId="77777777" w:rsidR="00871E84" w:rsidRPr="009038C9" w:rsidRDefault="00871E84" w:rsidP="00005C3C">
                      <w:pPr>
                        <w:pStyle w:val="Hoofdtekst"/>
                        <w:jc w:val="center"/>
                        <w:rPr>
                          <w:rFonts w:ascii="Times New Roman" w:hAnsi="Times New Roman" w:cs="Times New Roman"/>
                          <w:sz w:val="24"/>
                          <w:szCs w:val="24"/>
                          <w:lang w:val="en-US"/>
                        </w:rPr>
                      </w:pPr>
                    </w:p>
                    <w:p w14:paraId="7870DF91" w14:textId="77777777" w:rsidR="00871E84" w:rsidRDefault="00871E84" w:rsidP="00005C3C">
                      <w:pPr>
                        <w:pStyle w:val="Hoofdtekst"/>
                        <w:jc w:val="center"/>
                        <w:rPr>
                          <w:rFonts w:ascii="Times New Roman" w:hAnsi="Times New Roman" w:cs="Times New Roman"/>
                          <w:sz w:val="24"/>
                          <w:szCs w:val="24"/>
                        </w:rPr>
                      </w:pPr>
                      <w:r w:rsidRPr="009038C9">
                        <w:rPr>
                          <w:rFonts w:ascii="Times New Roman" w:hAnsi="Times New Roman" w:cs="Times New Roman"/>
                          <w:sz w:val="24"/>
                          <w:szCs w:val="24"/>
                        </w:rPr>
                        <w:t>National report on Luxembourg</w:t>
                      </w:r>
                    </w:p>
                    <w:p w14:paraId="0D1F1480" w14:textId="77777777" w:rsidR="00DC75E2" w:rsidRDefault="00DC75E2" w:rsidP="00005C3C">
                      <w:pPr>
                        <w:pStyle w:val="Hoofdtekst"/>
                        <w:jc w:val="center"/>
                        <w:rPr>
                          <w:rFonts w:ascii="Times New Roman" w:hAnsi="Times New Roman" w:cs="Times New Roman"/>
                          <w:sz w:val="24"/>
                          <w:szCs w:val="24"/>
                        </w:rPr>
                      </w:pPr>
                    </w:p>
                    <w:p w14:paraId="3394947B" w14:textId="77777777" w:rsidR="00DC75E2" w:rsidRDefault="00DC75E2" w:rsidP="00DC75E2">
                      <w:pPr>
                        <w:jc w:val="center"/>
                        <w:rPr>
                          <w:rFonts w:eastAsiaTheme="minorHAnsi"/>
                          <w:sz w:val="20"/>
                        </w:rPr>
                      </w:pPr>
                      <w:r>
                        <w:rPr>
                          <w:rFonts w:eastAsiaTheme="minorHAnsi"/>
                          <w:sz w:val="20"/>
                        </w:rPr>
                        <w:t xml:space="preserve">Prevention of and Fight against Crime </w:t>
                      </w:r>
                      <w:proofErr w:type="spellStart"/>
                      <w:r>
                        <w:rPr>
                          <w:rFonts w:eastAsiaTheme="minorHAnsi"/>
                          <w:sz w:val="20"/>
                        </w:rPr>
                        <w:t>Programme</w:t>
                      </w:r>
                      <w:proofErr w:type="spellEnd"/>
                      <w:r>
                        <w:rPr>
                          <w:rFonts w:eastAsiaTheme="minorHAnsi"/>
                          <w:sz w:val="20"/>
                        </w:rPr>
                        <w:t xml:space="preserve"> of the European Union, ISEC </w:t>
                      </w:r>
                      <w:proofErr w:type="spellStart"/>
                      <w:r>
                        <w:rPr>
                          <w:rFonts w:eastAsiaTheme="minorHAnsi"/>
                          <w:sz w:val="20"/>
                        </w:rPr>
                        <w:t>Programme</w:t>
                      </w:r>
                      <w:proofErr w:type="spellEnd"/>
                    </w:p>
                    <w:p w14:paraId="2CC844F3" w14:textId="77777777" w:rsidR="00564DE8" w:rsidRDefault="00564DE8" w:rsidP="00005C3C">
                      <w:pPr>
                        <w:pStyle w:val="Hoofdtekst"/>
                        <w:jc w:val="center"/>
                        <w:rPr>
                          <w:rFonts w:ascii="Times New Roman" w:hAnsi="Times New Roman" w:cs="Times New Roman"/>
                          <w:sz w:val="24"/>
                          <w:szCs w:val="24"/>
                        </w:rPr>
                      </w:pPr>
                    </w:p>
                    <w:p w14:paraId="1B8B77E3" w14:textId="77777777" w:rsidR="00E05493" w:rsidRPr="009038C9" w:rsidRDefault="00E05493" w:rsidP="00005C3C">
                      <w:pPr>
                        <w:pStyle w:val="Hoofdtekst"/>
                        <w:jc w:val="center"/>
                        <w:rPr>
                          <w:rFonts w:ascii="Times New Roman" w:hAnsi="Times New Roman" w:cs="Times New Roman"/>
                          <w:sz w:val="24"/>
                          <w:szCs w:val="24"/>
                        </w:rPr>
                      </w:pPr>
                    </w:p>
                    <w:p w14:paraId="4842C74B" w14:textId="42B3E1DD" w:rsidR="00871E84" w:rsidRDefault="00871E84" w:rsidP="001A711E">
                      <w:pPr>
                        <w:pStyle w:val="Hoofdtekst"/>
                        <w:jc w:val="center"/>
                      </w:pPr>
                    </w:p>
                    <w:p w14:paraId="44E45DE4" w14:textId="77777777" w:rsidR="00871E84" w:rsidRDefault="00871E84" w:rsidP="001A711E">
                      <w:pPr>
                        <w:pStyle w:val="Hoofdtekst"/>
                        <w:jc w:val="center"/>
                      </w:pPr>
                    </w:p>
                  </w:txbxContent>
                </v:textbox>
                <w10:wrap type="topAndBottom" anchorx="margin" anchory="page"/>
              </v:rect>
            </w:pict>
          </mc:Fallback>
        </mc:AlternateContent>
      </w:r>
      <w:r w:rsidR="0069564A">
        <w:rPr>
          <w:rFonts w:ascii="Times New Roman" w:hAnsi="Times New Roman" w:cs="Times New Roman"/>
          <w:sz w:val="24"/>
          <w:szCs w:val="24"/>
          <w:lang w:val="en-US"/>
        </w:rPr>
        <w:t>Project Towards Polish Cybercrime Centre of Excellence</w:t>
      </w:r>
      <w:bookmarkStart w:id="0" w:name="_GoBack"/>
      <w:bookmarkEnd w:id="0"/>
    </w:p>
    <w:p w14:paraId="27B30189" w14:textId="77777777" w:rsidR="00564DE8" w:rsidRDefault="00564DE8" w:rsidP="00D3525A">
      <w:pPr>
        <w:pStyle w:val="Hoofdtekst"/>
        <w:jc w:val="center"/>
        <w:outlineLvl w:val="0"/>
        <w:rPr>
          <w:rFonts w:ascii="Times New Roman" w:hAnsi="Times New Roman" w:cs="Times New Roman"/>
          <w:sz w:val="24"/>
          <w:szCs w:val="24"/>
          <w:lang w:val="en-US"/>
        </w:rPr>
      </w:pPr>
    </w:p>
    <w:p w14:paraId="62DE70C1" w14:textId="77777777" w:rsidR="00440B88" w:rsidRPr="009038C9" w:rsidRDefault="00440B88" w:rsidP="00D3525A">
      <w:pPr>
        <w:pStyle w:val="Hoofdtekst"/>
        <w:jc w:val="center"/>
        <w:outlineLvl w:val="0"/>
        <w:rPr>
          <w:rFonts w:ascii="Times New Roman" w:hAnsi="Times New Roman" w:cs="Times New Roman"/>
          <w:sz w:val="24"/>
          <w:szCs w:val="24"/>
          <w:lang w:val="en-US"/>
        </w:rPr>
      </w:pPr>
      <w:r w:rsidRPr="009038C9">
        <w:rPr>
          <w:rFonts w:ascii="Times New Roman" w:hAnsi="Times New Roman" w:cs="Times New Roman"/>
          <w:sz w:val="24"/>
          <w:szCs w:val="24"/>
          <w:lang w:val="en-US"/>
        </w:rPr>
        <w:t xml:space="preserve">Vanessa </w:t>
      </w:r>
      <w:proofErr w:type="spellStart"/>
      <w:r w:rsidRPr="009038C9">
        <w:rPr>
          <w:rFonts w:ascii="Times New Roman" w:hAnsi="Times New Roman" w:cs="Times New Roman"/>
          <w:smallCaps/>
          <w:sz w:val="24"/>
          <w:szCs w:val="24"/>
          <w:lang w:val="en-US"/>
        </w:rPr>
        <w:t>Franssen</w:t>
      </w:r>
      <w:proofErr w:type="spellEnd"/>
      <w:r w:rsidRPr="009038C9">
        <w:rPr>
          <w:rStyle w:val="Odwoanieprzypisudolnego"/>
          <w:rFonts w:ascii="Times New Roman" w:hAnsi="Times New Roman" w:cs="Times New Roman"/>
          <w:sz w:val="24"/>
          <w:szCs w:val="24"/>
          <w:lang w:val="en-US"/>
        </w:rPr>
        <w:footnoteReference w:id="1"/>
      </w:r>
      <w:r w:rsidRPr="009038C9">
        <w:rPr>
          <w:rFonts w:ascii="Times New Roman" w:hAnsi="Times New Roman" w:cs="Times New Roman"/>
          <w:sz w:val="24"/>
          <w:szCs w:val="24"/>
          <w:lang w:val="en-US"/>
        </w:rPr>
        <w:t xml:space="preserve"> and </w:t>
      </w:r>
      <w:proofErr w:type="spellStart"/>
      <w:r w:rsidRPr="009038C9">
        <w:rPr>
          <w:rFonts w:ascii="Times New Roman" w:hAnsi="Times New Roman" w:cs="Times New Roman"/>
          <w:sz w:val="24"/>
          <w:szCs w:val="24"/>
          <w:lang w:val="en-US"/>
        </w:rPr>
        <w:t>Katalin</w:t>
      </w:r>
      <w:proofErr w:type="spellEnd"/>
      <w:r w:rsidRPr="009038C9">
        <w:rPr>
          <w:rFonts w:ascii="Times New Roman" w:hAnsi="Times New Roman" w:cs="Times New Roman"/>
          <w:sz w:val="24"/>
          <w:szCs w:val="24"/>
          <w:lang w:val="en-US"/>
        </w:rPr>
        <w:t xml:space="preserve"> </w:t>
      </w:r>
      <w:proofErr w:type="spellStart"/>
      <w:r w:rsidRPr="009038C9">
        <w:rPr>
          <w:rFonts w:ascii="Times New Roman" w:hAnsi="Times New Roman" w:cs="Times New Roman"/>
          <w:smallCaps/>
          <w:sz w:val="24"/>
          <w:szCs w:val="24"/>
          <w:lang w:val="en-US"/>
        </w:rPr>
        <w:t>Ligeti</w:t>
      </w:r>
      <w:proofErr w:type="spellEnd"/>
      <w:r w:rsidR="006F41C3" w:rsidRPr="009038C9">
        <w:rPr>
          <w:rStyle w:val="Odwoanieprzypisudolnego"/>
          <w:rFonts w:ascii="Times New Roman" w:hAnsi="Times New Roman" w:cs="Times New Roman"/>
          <w:sz w:val="24"/>
          <w:szCs w:val="24"/>
          <w:lang w:val="en-US"/>
        </w:rPr>
        <w:footnoteReference w:id="2"/>
      </w:r>
    </w:p>
    <w:p w14:paraId="5AA864A4" w14:textId="5F7AF07C" w:rsidR="00E05493" w:rsidRPr="004B2E46" w:rsidRDefault="00440B88" w:rsidP="004B2E46">
      <w:pPr>
        <w:pStyle w:val="Hoofdtekst"/>
        <w:jc w:val="center"/>
        <w:outlineLvl w:val="0"/>
        <w:rPr>
          <w:rFonts w:ascii="Times New Roman" w:hAnsi="Times New Roman" w:cs="Times New Roman"/>
          <w:sz w:val="24"/>
          <w:szCs w:val="24"/>
          <w:lang w:val="en-US"/>
        </w:rPr>
      </w:pPr>
      <w:r w:rsidRPr="009038C9">
        <w:rPr>
          <w:rFonts w:ascii="Times New Roman" w:hAnsi="Times New Roman" w:cs="Times New Roman"/>
          <w:sz w:val="24"/>
          <w:szCs w:val="24"/>
          <w:lang w:val="en-US"/>
        </w:rPr>
        <w:t>University of Luxembourg</w:t>
      </w:r>
      <w:r w:rsidR="006F41C3" w:rsidRPr="009038C9">
        <w:rPr>
          <w:rStyle w:val="Odwoanieprzypisudolnego"/>
          <w:rFonts w:ascii="Times New Roman" w:hAnsi="Times New Roman" w:cs="Times New Roman"/>
          <w:sz w:val="24"/>
          <w:szCs w:val="24"/>
          <w:lang w:val="en-US"/>
        </w:rPr>
        <w:footnoteReference w:id="3"/>
      </w:r>
    </w:p>
    <w:p w14:paraId="3B86A11C" w14:textId="77777777" w:rsidR="004B2E46" w:rsidRDefault="004B2E46" w:rsidP="004B2E46"/>
    <w:p w14:paraId="36DF75AE" w14:textId="7DA5DF78" w:rsidR="004B2E46" w:rsidRDefault="004B2E46" w:rsidP="004B2E46">
      <w:r>
        <w:rPr>
          <w:noProof/>
          <w:bdr w:val="none" w:sz="0" w:space="0" w:color="auto"/>
          <w:lang w:val="pl-PL" w:eastAsia="pl-PL"/>
        </w:rPr>
        <w:drawing>
          <wp:anchor distT="0" distB="0" distL="114300" distR="114300" simplePos="0" relativeHeight="251663360" behindDoc="0" locked="0" layoutInCell="1" allowOverlap="1" wp14:anchorId="40CE0AF1" wp14:editId="2C42117E">
            <wp:simplePos x="0" y="0"/>
            <wp:positionH relativeFrom="column">
              <wp:posOffset>2628900</wp:posOffset>
            </wp:positionH>
            <wp:positionV relativeFrom="paragraph">
              <wp:posOffset>16510</wp:posOffset>
            </wp:positionV>
            <wp:extent cx="526415" cy="351155"/>
            <wp:effectExtent l="0" t="0" r="6985" b="0"/>
            <wp:wrapSquare wrapText="bothSides"/>
            <wp:docPr id="3" name="Obraz 3" descr="Opis: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351155"/>
                    </a:xfrm>
                    <a:prstGeom prst="rect">
                      <a:avLst/>
                    </a:prstGeom>
                    <a:noFill/>
                  </pic:spPr>
                </pic:pic>
              </a:graphicData>
            </a:graphic>
            <wp14:sizeRelH relativeFrom="page">
              <wp14:pctWidth>0</wp14:pctWidth>
            </wp14:sizeRelH>
            <wp14:sizeRelV relativeFrom="page">
              <wp14:pctHeight>0</wp14:pctHeight>
            </wp14:sizeRelV>
          </wp:anchor>
        </w:drawing>
      </w:r>
    </w:p>
    <w:p w14:paraId="35B26B21" w14:textId="77777777" w:rsidR="004B2E46" w:rsidRDefault="004B2E46" w:rsidP="004B2E46"/>
    <w:p w14:paraId="18C49F71" w14:textId="77777777" w:rsidR="004B2E46" w:rsidRDefault="004B2E46" w:rsidP="004B2E46"/>
    <w:p w14:paraId="4A256C58" w14:textId="77777777" w:rsidR="004B2E46" w:rsidRDefault="004B2E46" w:rsidP="004B2E46">
      <w:pPr>
        <w:jc w:val="center"/>
        <w:rPr>
          <w:color w:val="000090"/>
          <w:sz w:val="16"/>
          <w:szCs w:val="16"/>
        </w:rPr>
      </w:pPr>
      <w:r>
        <w:rPr>
          <w:rFonts w:cs="Courier"/>
          <w:color w:val="000090"/>
          <w:sz w:val="16"/>
          <w:szCs w:val="16"/>
        </w:rPr>
        <w:t xml:space="preserve">Co-funded by the Prevention of and Fight against Crime </w:t>
      </w:r>
      <w:proofErr w:type="spellStart"/>
      <w:r>
        <w:rPr>
          <w:rFonts w:cs="Courier"/>
          <w:color w:val="000090"/>
          <w:sz w:val="16"/>
          <w:szCs w:val="16"/>
        </w:rPr>
        <w:t>Programme</w:t>
      </w:r>
      <w:proofErr w:type="spellEnd"/>
      <w:r>
        <w:rPr>
          <w:rFonts w:cs="Courier"/>
          <w:color w:val="000090"/>
          <w:sz w:val="16"/>
          <w:szCs w:val="16"/>
        </w:rPr>
        <w:t xml:space="preserve"> of the European Union</w:t>
      </w:r>
    </w:p>
    <w:p w14:paraId="1766FA11" w14:textId="77777777" w:rsidR="004B2E46" w:rsidRPr="003450F1" w:rsidRDefault="004B2E46" w:rsidP="00440B88">
      <w:pPr>
        <w:pStyle w:val="Hoofdtekst"/>
        <w:spacing w:after="120"/>
        <w:jc w:val="center"/>
        <w:rPr>
          <w:rFonts w:ascii="Times New Roman" w:hAnsi="Times New Roman" w:cs="Times New Roman"/>
          <w:b/>
          <w:bCs/>
          <w:sz w:val="24"/>
          <w:szCs w:val="24"/>
          <w:lang w:val="en-US"/>
        </w:rPr>
      </w:pPr>
    </w:p>
    <w:p w14:paraId="6F28EF1B" w14:textId="585280F1" w:rsidR="001A711E" w:rsidRPr="003450F1" w:rsidRDefault="001A711E" w:rsidP="00D3525A">
      <w:pPr>
        <w:pStyle w:val="Hoofdtekst"/>
        <w:spacing w:after="120"/>
        <w:jc w:val="both"/>
        <w:outlineLvl w:val="0"/>
        <w:rPr>
          <w:rFonts w:ascii="Times New Roman" w:hAnsi="Times New Roman" w:cs="Times New Roman"/>
          <w:bCs/>
          <w:sz w:val="24"/>
          <w:szCs w:val="24"/>
          <w:lang w:val="en-US"/>
        </w:rPr>
      </w:pPr>
      <w:r w:rsidRPr="003450F1">
        <w:rPr>
          <w:rFonts w:ascii="Times New Roman" w:hAnsi="Times New Roman" w:cs="Times New Roman"/>
          <w:b/>
          <w:bCs/>
          <w:sz w:val="24"/>
          <w:szCs w:val="24"/>
          <w:lang w:val="en-US"/>
        </w:rPr>
        <w:t>Introductory remarks</w:t>
      </w:r>
    </w:p>
    <w:p w14:paraId="1069C431" w14:textId="028BA9EF" w:rsidR="001A711E" w:rsidRPr="003450F1" w:rsidRDefault="001A711E"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 xml:space="preserve">Luxembourg likes to </w:t>
      </w:r>
      <w:r w:rsidR="00762A60" w:rsidRPr="003450F1">
        <w:rPr>
          <w:rFonts w:ascii="Times New Roman" w:hAnsi="Times New Roman" w:cs="Times New Roman"/>
          <w:bCs/>
          <w:sz w:val="24"/>
          <w:szCs w:val="24"/>
          <w:lang w:val="en-US"/>
        </w:rPr>
        <w:t xml:space="preserve">praise </w:t>
      </w:r>
      <w:r w:rsidRPr="003450F1">
        <w:rPr>
          <w:rFonts w:ascii="Times New Roman" w:hAnsi="Times New Roman" w:cs="Times New Roman"/>
          <w:bCs/>
          <w:sz w:val="24"/>
          <w:szCs w:val="24"/>
          <w:lang w:val="en-US"/>
        </w:rPr>
        <w:t xml:space="preserve">itself </w:t>
      </w:r>
      <w:r w:rsidR="00762A60" w:rsidRPr="003450F1">
        <w:rPr>
          <w:rFonts w:ascii="Times New Roman" w:hAnsi="Times New Roman" w:cs="Times New Roman"/>
          <w:bCs/>
          <w:sz w:val="24"/>
          <w:szCs w:val="24"/>
          <w:lang w:val="en-US"/>
        </w:rPr>
        <w:t xml:space="preserve">for </w:t>
      </w:r>
      <w:r w:rsidRPr="003450F1">
        <w:rPr>
          <w:rFonts w:ascii="Times New Roman" w:hAnsi="Times New Roman" w:cs="Times New Roman"/>
          <w:bCs/>
          <w:sz w:val="24"/>
          <w:szCs w:val="24"/>
          <w:lang w:val="en-US"/>
        </w:rPr>
        <w:t xml:space="preserve">its first-class </w:t>
      </w:r>
      <w:r w:rsidR="000462C3">
        <w:rPr>
          <w:rFonts w:ascii="Times New Roman" w:hAnsi="Times New Roman" w:cs="Times New Roman"/>
          <w:bCs/>
          <w:sz w:val="24"/>
          <w:szCs w:val="24"/>
          <w:lang w:val="en-US"/>
        </w:rPr>
        <w:t>information and communication technologies (</w:t>
      </w:r>
      <w:r w:rsidRPr="000462C3">
        <w:rPr>
          <w:rFonts w:ascii="Times New Roman" w:hAnsi="Times New Roman" w:cs="Times New Roman"/>
          <w:bCs/>
          <w:sz w:val="24"/>
          <w:szCs w:val="24"/>
          <w:lang w:val="en-US"/>
        </w:rPr>
        <w:t>ICT</w:t>
      </w:r>
      <w:r w:rsidR="000462C3" w:rsidRPr="000462C3">
        <w:rPr>
          <w:rFonts w:ascii="Times New Roman" w:hAnsi="Times New Roman" w:cs="Times New Roman"/>
          <w:bCs/>
          <w:sz w:val="24"/>
          <w:szCs w:val="24"/>
          <w:lang w:val="en-US"/>
        </w:rPr>
        <w:t>)</w:t>
      </w:r>
      <w:r w:rsidRPr="000462C3">
        <w:rPr>
          <w:rFonts w:ascii="Times New Roman" w:hAnsi="Times New Roman" w:cs="Times New Roman"/>
          <w:bCs/>
          <w:sz w:val="24"/>
          <w:szCs w:val="24"/>
          <w:lang w:val="en-US"/>
        </w:rPr>
        <w:t xml:space="preserve"> infrastructures </w:t>
      </w:r>
      <w:r w:rsidR="000462C3" w:rsidRPr="000462C3">
        <w:rPr>
          <w:rFonts w:ascii="Times New Roman" w:hAnsi="Times New Roman" w:cs="Times New Roman"/>
          <w:bCs/>
          <w:sz w:val="24"/>
          <w:szCs w:val="24"/>
          <w:lang w:val="en-US"/>
        </w:rPr>
        <w:t>as well as</w:t>
      </w:r>
      <w:r w:rsidRPr="000462C3">
        <w:rPr>
          <w:rFonts w:ascii="Times New Roman" w:hAnsi="Times New Roman" w:cs="Times New Roman"/>
          <w:bCs/>
          <w:sz w:val="24"/>
          <w:szCs w:val="24"/>
          <w:lang w:val="en-US"/>
        </w:rPr>
        <w:t xml:space="preserve"> telecommunications networks</w:t>
      </w:r>
      <w:r w:rsidRPr="003450F1">
        <w:rPr>
          <w:rFonts w:ascii="Times New Roman" w:hAnsi="Times New Roman" w:cs="Times New Roman"/>
          <w:bCs/>
          <w:sz w:val="24"/>
          <w:szCs w:val="24"/>
          <w:lang w:val="en-US"/>
        </w:rPr>
        <w:t>.</w:t>
      </w:r>
      <w:r w:rsidRPr="003450F1">
        <w:rPr>
          <w:rStyle w:val="Odwoanieprzypisudolnego"/>
          <w:rFonts w:ascii="Times New Roman" w:hAnsi="Times New Roman" w:cs="Times New Roman"/>
          <w:bCs/>
          <w:sz w:val="24"/>
          <w:szCs w:val="24"/>
          <w:lang w:val="en-US"/>
        </w:rPr>
        <w:footnoteReference w:id="4"/>
      </w:r>
      <w:r w:rsidRPr="003450F1">
        <w:rPr>
          <w:rFonts w:ascii="Times New Roman" w:hAnsi="Times New Roman" w:cs="Times New Roman"/>
          <w:bCs/>
          <w:sz w:val="24"/>
          <w:szCs w:val="24"/>
          <w:lang w:val="en-US"/>
        </w:rPr>
        <w:t xml:space="preserve"> The development of the information society has been a key priority in Luxembourg for a number of years.</w:t>
      </w:r>
      <w:r w:rsidRPr="003450F1">
        <w:rPr>
          <w:rStyle w:val="Odwoanieprzypisudolnego"/>
          <w:rFonts w:ascii="Times New Roman" w:hAnsi="Times New Roman" w:cs="Times New Roman"/>
          <w:bCs/>
          <w:sz w:val="24"/>
          <w:szCs w:val="24"/>
          <w:lang w:val="en-US"/>
        </w:rPr>
        <w:footnoteReference w:id="5"/>
      </w:r>
      <w:r w:rsidRPr="003450F1">
        <w:rPr>
          <w:rFonts w:ascii="Times New Roman" w:hAnsi="Times New Roman" w:cs="Times New Roman"/>
          <w:bCs/>
          <w:sz w:val="24"/>
          <w:szCs w:val="24"/>
          <w:lang w:val="en-US"/>
        </w:rPr>
        <w:t xml:space="preserve"> To this end, the country has created a </w:t>
      </w:r>
      <w:proofErr w:type="spellStart"/>
      <w:r w:rsidRPr="003450F1">
        <w:rPr>
          <w:rFonts w:ascii="Times New Roman" w:hAnsi="Times New Roman" w:cs="Times New Roman"/>
          <w:bCs/>
          <w:sz w:val="24"/>
          <w:szCs w:val="24"/>
          <w:lang w:val="en-US"/>
        </w:rPr>
        <w:t>favourable</w:t>
      </w:r>
      <w:proofErr w:type="spellEnd"/>
      <w:r w:rsidRPr="003450F1">
        <w:rPr>
          <w:rFonts w:ascii="Times New Roman" w:hAnsi="Times New Roman" w:cs="Times New Roman"/>
          <w:bCs/>
          <w:sz w:val="24"/>
          <w:szCs w:val="24"/>
          <w:lang w:val="en-US"/>
        </w:rPr>
        <w:t xml:space="preserve"> economic climate for the I</w:t>
      </w:r>
      <w:r w:rsidR="000462C3">
        <w:rPr>
          <w:rFonts w:ascii="Times New Roman" w:hAnsi="Times New Roman" w:cs="Times New Roman"/>
          <w:bCs/>
          <w:sz w:val="24"/>
          <w:szCs w:val="24"/>
          <w:lang w:val="en-US"/>
        </w:rPr>
        <w:t>C</w:t>
      </w:r>
      <w:r w:rsidRPr="003450F1">
        <w:rPr>
          <w:rFonts w:ascii="Times New Roman" w:hAnsi="Times New Roman" w:cs="Times New Roman"/>
          <w:bCs/>
          <w:sz w:val="24"/>
          <w:szCs w:val="24"/>
          <w:lang w:val="en-US"/>
        </w:rPr>
        <w:t xml:space="preserve">T sector and electronic commerce. Its applicable legal framework is well developed, with a strong emphasis on privacy protection. In addition to local and regional ICT businesses, Luxembourg hosts several data </w:t>
      </w:r>
      <w:proofErr w:type="spellStart"/>
      <w:r w:rsidRPr="003450F1">
        <w:rPr>
          <w:rFonts w:ascii="Times New Roman" w:hAnsi="Times New Roman" w:cs="Times New Roman"/>
          <w:bCs/>
          <w:sz w:val="24"/>
          <w:szCs w:val="24"/>
          <w:lang w:val="en-US"/>
        </w:rPr>
        <w:t>centres</w:t>
      </w:r>
      <w:proofErr w:type="spellEnd"/>
      <w:r w:rsidRPr="003450F1">
        <w:rPr>
          <w:rFonts w:ascii="Times New Roman" w:hAnsi="Times New Roman" w:cs="Times New Roman"/>
          <w:bCs/>
          <w:sz w:val="24"/>
          <w:szCs w:val="24"/>
          <w:lang w:val="en-US"/>
        </w:rPr>
        <w:t xml:space="preserve"> as well as the European headquarters of some </w:t>
      </w:r>
      <w:r w:rsidR="00612ED1" w:rsidRPr="003450F1">
        <w:rPr>
          <w:rFonts w:ascii="Times New Roman" w:hAnsi="Times New Roman" w:cs="Times New Roman"/>
          <w:bCs/>
          <w:sz w:val="24"/>
          <w:szCs w:val="24"/>
          <w:lang w:val="en-US"/>
        </w:rPr>
        <w:t xml:space="preserve">global </w:t>
      </w:r>
      <w:r w:rsidRPr="003450F1">
        <w:rPr>
          <w:rFonts w:ascii="Times New Roman" w:hAnsi="Times New Roman" w:cs="Times New Roman"/>
          <w:bCs/>
          <w:sz w:val="24"/>
          <w:szCs w:val="24"/>
          <w:lang w:val="en-US"/>
        </w:rPr>
        <w:t>players of the IT services industr</w:t>
      </w:r>
      <w:r w:rsidR="0018277A" w:rsidRPr="003450F1">
        <w:rPr>
          <w:rFonts w:ascii="Times New Roman" w:hAnsi="Times New Roman" w:cs="Times New Roman"/>
          <w:bCs/>
          <w:sz w:val="24"/>
          <w:szCs w:val="24"/>
          <w:lang w:val="en-US"/>
        </w:rPr>
        <w:t>y and electronic commerce (e.g. Skype and Amazon).</w:t>
      </w:r>
      <w:r w:rsidR="00383356" w:rsidRPr="003450F1">
        <w:rPr>
          <w:rStyle w:val="Odwoanieprzypisudolnego"/>
          <w:rFonts w:ascii="Times New Roman" w:hAnsi="Times New Roman" w:cs="Times New Roman"/>
          <w:bCs/>
          <w:sz w:val="24"/>
          <w:szCs w:val="24"/>
          <w:lang w:val="en-US"/>
        </w:rPr>
        <w:footnoteReference w:id="6"/>
      </w:r>
    </w:p>
    <w:p w14:paraId="44983623" w14:textId="1B67CE2C" w:rsidR="001A711E" w:rsidRPr="00155B8B" w:rsidRDefault="0018277A"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T</w:t>
      </w:r>
      <w:r w:rsidR="001A711E" w:rsidRPr="003450F1">
        <w:rPr>
          <w:rFonts w:ascii="Times New Roman" w:hAnsi="Times New Roman" w:cs="Times New Roman"/>
          <w:bCs/>
          <w:sz w:val="24"/>
          <w:szCs w:val="24"/>
          <w:lang w:val="en-US"/>
        </w:rPr>
        <w:t xml:space="preserve">he Luxembourgish regulatory framework regarding the </w:t>
      </w:r>
      <w:r w:rsidR="001A711E" w:rsidRPr="00155B8B">
        <w:rPr>
          <w:rFonts w:ascii="Times New Roman" w:hAnsi="Times New Roman" w:cs="Times New Roman"/>
          <w:bCs/>
          <w:sz w:val="24"/>
          <w:szCs w:val="24"/>
          <w:lang w:val="en-US"/>
        </w:rPr>
        <w:t>telecommunications and I</w:t>
      </w:r>
      <w:r w:rsidR="009038C9" w:rsidRPr="00155B8B">
        <w:rPr>
          <w:rFonts w:ascii="Times New Roman" w:hAnsi="Times New Roman" w:cs="Times New Roman"/>
          <w:bCs/>
          <w:sz w:val="24"/>
          <w:szCs w:val="24"/>
          <w:lang w:val="en-US"/>
        </w:rPr>
        <w:t>C</w:t>
      </w:r>
      <w:r w:rsidR="001A711E" w:rsidRPr="00155B8B">
        <w:rPr>
          <w:rFonts w:ascii="Times New Roman" w:hAnsi="Times New Roman" w:cs="Times New Roman"/>
          <w:bCs/>
          <w:sz w:val="24"/>
          <w:szCs w:val="24"/>
          <w:lang w:val="en-US"/>
        </w:rPr>
        <w:t xml:space="preserve">T sector consists, </w:t>
      </w:r>
      <w:r w:rsidR="00C3648C" w:rsidRPr="00155B8B">
        <w:rPr>
          <w:rFonts w:ascii="Times New Roman" w:hAnsi="Times New Roman" w:cs="Times New Roman"/>
          <w:bCs/>
          <w:sz w:val="24"/>
          <w:szCs w:val="24"/>
          <w:lang w:val="en-US"/>
        </w:rPr>
        <w:t>generally</w:t>
      </w:r>
      <w:r w:rsidR="001A711E" w:rsidRPr="00155B8B">
        <w:rPr>
          <w:rFonts w:ascii="Times New Roman" w:hAnsi="Times New Roman" w:cs="Times New Roman"/>
          <w:bCs/>
          <w:sz w:val="24"/>
          <w:szCs w:val="24"/>
          <w:lang w:val="en-US"/>
        </w:rPr>
        <w:t xml:space="preserve"> speaking, of two sets of legal instruments: legal instruments relating to the business and technical elements of </w:t>
      </w:r>
      <w:r w:rsidR="009038C9" w:rsidRPr="00155B8B">
        <w:rPr>
          <w:rFonts w:ascii="Times New Roman" w:hAnsi="Times New Roman" w:cs="Times New Roman"/>
          <w:bCs/>
          <w:sz w:val="24"/>
          <w:szCs w:val="24"/>
          <w:lang w:val="en-US"/>
        </w:rPr>
        <w:t xml:space="preserve">electronic </w:t>
      </w:r>
      <w:r w:rsidR="001A711E" w:rsidRPr="00155B8B">
        <w:rPr>
          <w:rFonts w:ascii="Times New Roman" w:hAnsi="Times New Roman" w:cs="Times New Roman"/>
          <w:bCs/>
          <w:sz w:val="24"/>
          <w:szCs w:val="24"/>
          <w:lang w:val="en-US"/>
        </w:rPr>
        <w:t xml:space="preserve">communications and </w:t>
      </w:r>
      <w:r w:rsidR="00871E84" w:rsidRPr="00155B8B">
        <w:rPr>
          <w:rFonts w:ascii="Times New Roman" w:hAnsi="Times New Roman" w:cs="Times New Roman"/>
          <w:bCs/>
          <w:sz w:val="24"/>
          <w:szCs w:val="24"/>
          <w:lang w:val="en-US"/>
        </w:rPr>
        <w:t>e-</w:t>
      </w:r>
      <w:r w:rsidR="000462C3" w:rsidRPr="00155B8B">
        <w:rPr>
          <w:rFonts w:ascii="Times New Roman" w:hAnsi="Times New Roman" w:cs="Times New Roman"/>
          <w:bCs/>
          <w:sz w:val="24"/>
          <w:szCs w:val="24"/>
          <w:lang w:val="en-US"/>
        </w:rPr>
        <w:t xml:space="preserve">commerce </w:t>
      </w:r>
      <w:r w:rsidR="001A711E" w:rsidRPr="00155B8B">
        <w:rPr>
          <w:rFonts w:ascii="Times New Roman" w:hAnsi="Times New Roman" w:cs="Times New Roman"/>
          <w:bCs/>
          <w:sz w:val="24"/>
          <w:szCs w:val="24"/>
          <w:lang w:val="en-US"/>
        </w:rPr>
        <w:t xml:space="preserve">on the one hand, and legislation relating to the protection of privacy and personal data in the field of </w:t>
      </w:r>
      <w:r w:rsidR="009038C9" w:rsidRPr="00155B8B">
        <w:rPr>
          <w:rFonts w:ascii="Times New Roman" w:hAnsi="Times New Roman" w:cs="Times New Roman"/>
          <w:bCs/>
          <w:sz w:val="24"/>
          <w:szCs w:val="24"/>
          <w:lang w:val="en-US"/>
        </w:rPr>
        <w:t xml:space="preserve">electronic communications </w:t>
      </w:r>
      <w:r w:rsidR="001A711E" w:rsidRPr="00155B8B">
        <w:rPr>
          <w:rFonts w:ascii="Times New Roman" w:hAnsi="Times New Roman" w:cs="Times New Roman"/>
          <w:bCs/>
          <w:sz w:val="24"/>
          <w:szCs w:val="24"/>
          <w:lang w:val="en-US"/>
        </w:rPr>
        <w:t xml:space="preserve">on the other. </w:t>
      </w:r>
      <w:r w:rsidR="000462C3" w:rsidRPr="00155B8B">
        <w:rPr>
          <w:rFonts w:ascii="Times New Roman" w:hAnsi="Times New Roman" w:cs="Times New Roman"/>
          <w:bCs/>
          <w:sz w:val="24"/>
          <w:szCs w:val="24"/>
          <w:lang w:val="en-US"/>
        </w:rPr>
        <w:t xml:space="preserve">These regulations are strongly influenced by the existing EU legal framework. </w:t>
      </w:r>
      <w:r w:rsidR="001A711E" w:rsidRPr="00155B8B">
        <w:rPr>
          <w:rFonts w:ascii="Times New Roman" w:hAnsi="Times New Roman" w:cs="Times New Roman"/>
          <w:bCs/>
          <w:sz w:val="24"/>
          <w:szCs w:val="24"/>
          <w:lang w:val="en-US"/>
        </w:rPr>
        <w:t xml:space="preserve">Furthermore, the (compulsory) cooperation of telecommunications </w:t>
      </w:r>
      <w:r w:rsidR="00C1332B" w:rsidRPr="00155B8B">
        <w:rPr>
          <w:rFonts w:ascii="Times New Roman" w:hAnsi="Times New Roman" w:cs="Times New Roman"/>
          <w:bCs/>
          <w:sz w:val="24"/>
          <w:szCs w:val="24"/>
          <w:lang w:val="en-US"/>
        </w:rPr>
        <w:t xml:space="preserve">operators and </w:t>
      </w:r>
      <w:r w:rsidR="001A711E" w:rsidRPr="00155B8B">
        <w:rPr>
          <w:rFonts w:ascii="Times New Roman" w:hAnsi="Times New Roman" w:cs="Times New Roman"/>
          <w:bCs/>
          <w:sz w:val="24"/>
          <w:szCs w:val="24"/>
          <w:lang w:val="en-US"/>
        </w:rPr>
        <w:t>providers with judicial authorities in the context of a criminal investigation is regulated by the Code of Criminal Procedure (</w:t>
      </w:r>
      <w:r w:rsidR="00C1332B" w:rsidRPr="00155B8B">
        <w:rPr>
          <w:rFonts w:ascii="Times New Roman" w:hAnsi="Times New Roman" w:cs="Times New Roman"/>
          <w:bCs/>
          <w:sz w:val="24"/>
          <w:szCs w:val="24"/>
          <w:lang w:val="en-US"/>
        </w:rPr>
        <w:t>‘</w:t>
      </w:r>
      <w:r w:rsidR="001A711E" w:rsidRPr="00155B8B">
        <w:rPr>
          <w:rFonts w:ascii="Times New Roman" w:hAnsi="Times New Roman" w:cs="Times New Roman"/>
          <w:bCs/>
          <w:i/>
          <w:sz w:val="24"/>
          <w:szCs w:val="24"/>
          <w:lang w:val="en-US"/>
        </w:rPr>
        <w:t xml:space="preserve">le Code </w:t>
      </w:r>
      <w:proofErr w:type="spellStart"/>
      <w:r w:rsidR="001A711E" w:rsidRPr="00155B8B">
        <w:rPr>
          <w:rFonts w:ascii="Times New Roman" w:hAnsi="Times New Roman" w:cs="Times New Roman"/>
          <w:bCs/>
          <w:i/>
          <w:sz w:val="24"/>
          <w:szCs w:val="24"/>
          <w:lang w:val="en-US"/>
        </w:rPr>
        <w:t>d’instruction</w:t>
      </w:r>
      <w:proofErr w:type="spellEnd"/>
      <w:r w:rsidR="001A711E" w:rsidRPr="00155B8B">
        <w:rPr>
          <w:rFonts w:ascii="Times New Roman" w:hAnsi="Times New Roman" w:cs="Times New Roman"/>
          <w:bCs/>
          <w:i/>
          <w:sz w:val="24"/>
          <w:szCs w:val="24"/>
          <w:lang w:val="en-US"/>
        </w:rPr>
        <w:t xml:space="preserve"> </w:t>
      </w:r>
      <w:proofErr w:type="spellStart"/>
      <w:r w:rsidR="001A711E" w:rsidRPr="00155B8B">
        <w:rPr>
          <w:rFonts w:ascii="Times New Roman" w:hAnsi="Times New Roman" w:cs="Times New Roman"/>
          <w:bCs/>
          <w:i/>
          <w:sz w:val="24"/>
          <w:szCs w:val="24"/>
          <w:lang w:val="en-US"/>
        </w:rPr>
        <w:t>criminelle</w:t>
      </w:r>
      <w:proofErr w:type="spellEnd"/>
      <w:r w:rsidR="00C1332B" w:rsidRPr="00155B8B">
        <w:rPr>
          <w:rFonts w:ascii="Times New Roman" w:hAnsi="Times New Roman" w:cs="Times New Roman"/>
          <w:bCs/>
          <w:sz w:val="24"/>
          <w:szCs w:val="24"/>
          <w:lang w:val="en-US"/>
        </w:rPr>
        <w:t>’</w:t>
      </w:r>
      <w:r w:rsidR="007F209A" w:rsidRPr="00155B8B">
        <w:rPr>
          <w:rFonts w:ascii="Times New Roman" w:hAnsi="Times New Roman" w:cs="Times New Roman"/>
          <w:bCs/>
          <w:sz w:val="24"/>
          <w:szCs w:val="24"/>
          <w:lang w:val="en-US"/>
        </w:rPr>
        <w:t>).</w:t>
      </w:r>
    </w:p>
    <w:p w14:paraId="3174E880" w14:textId="785D1E9C" w:rsidR="007F209A" w:rsidRPr="003450F1" w:rsidRDefault="000462C3" w:rsidP="001A711E">
      <w:pPr>
        <w:pStyle w:val="Hoofdtekst"/>
        <w:spacing w:after="120"/>
        <w:jc w:val="both"/>
        <w:rPr>
          <w:rFonts w:ascii="Times New Roman" w:hAnsi="Times New Roman" w:cs="Times New Roman"/>
          <w:bCs/>
          <w:sz w:val="24"/>
          <w:szCs w:val="24"/>
          <w:lang w:val="en-US"/>
        </w:rPr>
      </w:pPr>
      <w:r w:rsidRPr="00155B8B">
        <w:rPr>
          <w:rFonts w:ascii="Times New Roman" w:hAnsi="Times New Roman" w:cs="Times New Roman"/>
          <w:bCs/>
          <w:sz w:val="24"/>
          <w:szCs w:val="24"/>
          <w:lang w:val="en-US"/>
        </w:rPr>
        <w:t xml:space="preserve">Luxembourg’s eagerness to stimulate the </w:t>
      </w:r>
      <w:r w:rsidR="001A711E" w:rsidRPr="00155B8B">
        <w:rPr>
          <w:rFonts w:ascii="Times New Roman" w:hAnsi="Times New Roman" w:cs="Times New Roman"/>
          <w:bCs/>
          <w:sz w:val="24"/>
          <w:szCs w:val="24"/>
          <w:lang w:val="en-US"/>
        </w:rPr>
        <w:t xml:space="preserve">ICT </w:t>
      </w:r>
      <w:r w:rsidRPr="00155B8B">
        <w:rPr>
          <w:rFonts w:ascii="Times New Roman" w:hAnsi="Times New Roman" w:cs="Times New Roman"/>
          <w:bCs/>
          <w:sz w:val="24"/>
          <w:szCs w:val="24"/>
          <w:lang w:val="en-US"/>
        </w:rPr>
        <w:t xml:space="preserve">and e-commerce </w:t>
      </w:r>
      <w:r w:rsidR="001A711E" w:rsidRPr="00155B8B">
        <w:rPr>
          <w:rFonts w:ascii="Times New Roman" w:hAnsi="Times New Roman" w:cs="Times New Roman"/>
          <w:bCs/>
          <w:sz w:val="24"/>
          <w:szCs w:val="24"/>
          <w:lang w:val="en-US"/>
        </w:rPr>
        <w:t>sector</w:t>
      </w:r>
      <w:r w:rsidRPr="00155B8B">
        <w:rPr>
          <w:rFonts w:ascii="Times New Roman" w:hAnsi="Times New Roman" w:cs="Times New Roman"/>
          <w:bCs/>
          <w:sz w:val="24"/>
          <w:szCs w:val="24"/>
          <w:lang w:val="en-US"/>
        </w:rPr>
        <w:t>,</w:t>
      </w:r>
      <w:r w:rsidR="001A711E" w:rsidRPr="00155B8B">
        <w:rPr>
          <w:rFonts w:ascii="Times New Roman" w:hAnsi="Times New Roman" w:cs="Times New Roman"/>
          <w:bCs/>
          <w:sz w:val="24"/>
          <w:szCs w:val="24"/>
          <w:lang w:val="en-US"/>
        </w:rPr>
        <w:t xml:space="preserve"> </w:t>
      </w:r>
      <w:r w:rsidRPr="00155B8B">
        <w:rPr>
          <w:rFonts w:ascii="Times New Roman" w:hAnsi="Times New Roman" w:cs="Times New Roman"/>
          <w:bCs/>
          <w:sz w:val="24"/>
          <w:szCs w:val="24"/>
          <w:lang w:val="en-US"/>
        </w:rPr>
        <w:t>as</w:t>
      </w:r>
      <w:r>
        <w:rPr>
          <w:rFonts w:ascii="Times New Roman" w:hAnsi="Times New Roman" w:cs="Times New Roman"/>
          <w:bCs/>
          <w:sz w:val="24"/>
          <w:szCs w:val="24"/>
          <w:lang w:val="en-US"/>
        </w:rPr>
        <w:t xml:space="preserve"> well as its well-established financial</w:t>
      </w:r>
      <w:r w:rsidR="001A711E" w:rsidRPr="003450F1">
        <w:rPr>
          <w:rFonts w:ascii="Times New Roman" w:hAnsi="Times New Roman" w:cs="Times New Roman"/>
          <w:bCs/>
          <w:sz w:val="24"/>
          <w:szCs w:val="24"/>
          <w:lang w:val="en-US"/>
        </w:rPr>
        <w:t xml:space="preserve"> sector, </w:t>
      </w:r>
      <w:r>
        <w:rPr>
          <w:rFonts w:ascii="Times New Roman" w:hAnsi="Times New Roman" w:cs="Times New Roman"/>
          <w:bCs/>
          <w:sz w:val="24"/>
          <w:szCs w:val="24"/>
          <w:lang w:val="en-US"/>
        </w:rPr>
        <w:t xml:space="preserve">obviously make the country </w:t>
      </w:r>
      <w:r w:rsidR="001A711E" w:rsidRPr="003450F1">
        <w:rPr>
          <w:rFonts w:ascii="Times New Roman" w:hAnsi="Times New Roman" w:cs="Times New Roman"/>
          <w:bCs/>
          <w:sz w:val="24"/>
          <w:szCs w:val="24"/>
          <w:lang w:val="en-US"/>
        </w:rPr>
        <w:t xml:space="preserve">particularly prone to </w:t>
      </w:r>
      <w:r w:rsidR="0076669A" w:rsidRPr="003450F1">
        <w:rPr>
          <w:rFonts w:ascii="Times New Roman" w:hAnsi="Times New Roman" w:cs="Times New Roman"/>
          <w:bCs/>
          <w:sz w:val="24"/>
          <w:szCs w:val="24"/>
          <w:lang w:val="en-US"/>
        </w:rPr>
        <w:t>cyber criminality</w:t>
      </w:r>
      <w:r>
        <w:rPr>
          <w:rFonts w:ascii="Times New Roman" w:hAnsi="Times New Roman" w:cs="Times New Roman"/>
          <w:bCs/>
          <w:sz w:val="24"/>
          <w:szCs w:val="24"/>
          <w:lang w:val="en-US"/>
        </w:rPr>
        <w:t>. That being said,</w:t>
      </w:r>
      <w:r w:rsidR="001A711E" w:rsidRPr="003450F1">
        <w:rPr>
          <w:rFonts w:ascii="Times New Roman" w:hAnsi="Times New Roman" w:cs="Times New Roman"/>
          <w:bCs/>
          <w:sz w:val="24"/>
          <w:szCs w:val="24"/>
          <w:lang w:val="en-US"/>
        </w:rPr>
        <w:t xml:space="preserve"> it took Luxembourg until July 2014 to finally approve the Budapest Convention on Cybercrime, and to adjust its national legislation accordingly. With respect to child pornography, Luxembourg has implemented the Directive </w:t>
      </w:r>
      <w:r w:rsidR="00311803" w:rsidRPr="003450F1">
        <w:rPr>
          <w:rFonts w:ascii="Times New Roman" w:hAnsi="Times New Roman" w:cs="Times New Roman"/>
          <w:bCs/>
          <w:sz w:val="24"/>
          <w:szCs w:val="24"/>
          <w:lang w:val="en-US"/>
        </w:rPr>
        <w:t xml:space="preserve">of 13 December 2011 on combating the sexual abuse and sexual exploitation of children and child pornography </w:t>
      </w:r>
      <w:r w:rsidR="001A711E" w:rsidRPr="003450F1">
        <w:rPr>
          <w:rFonts w:ascii="Times New Roman" w:hAnsi="Times New Roman" w:cs="Times New Roman"/>
          <w:bCs/>
          <w:sz w:val="24"/>
          <w:szCs w:val="24"/>
          <w:lang w:val="en-US"/>
        </w:rPr>
        <w:t xml:space="preserve">in 2013. </w:t>
      </w:r>
    </w:p>
    <w:p w14:paraId="1E61A83F" w14:textId="725A9BD0" w:rsidR="001A711E" w:rsidRPr="003450F1" w:rsidRDefault="008D12CD"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lastRenderedPageBreak/>
        <w:t>In addition to a quite well-</w:t>
      </w:r>
      <w:r w:rsidR="00505433" w:rsidRPr="003450F1">
        <w:rPr>
          <w:rFonts w:ascii="Times New Roman" w:hAnsi="Times New Roman" w:cs="Times New Roman"/>
          <w:bCs/>
          <w:sz w:val="24"/>
          <w:szCs w:val="24"/>
          <w:lang w:val="en-US"/>
        </w:rPr>
        <w:t>developed</w:t>
      </w:r>
      <w:r w:rsidRPr="003450F1">
        <w:rPr>
          <w:rFonts w:ascii="Times New Roman" w:hAnsi="Times New Roman" w:cs="Times New Roman"/>
          <w:bCs/>
          <w:sz w:val="24"/>
          <w:szCs w:val="24"/>
          <w:lang w:val="en-US"/>
        </w:rPr>
        <w:t xml:space="preserve"> legal framework</w:t>
      </w:r>
      <w:r w:rsidR="001A711E" w:rsidRPr="003450F1">
        <w:rPr>
          <w:rFonts w:ascii="Times New Roman" w:hAnsi="Times New Roman" w:cs="Times New Roman"/>
          <w:bCs/>
          <w:sz w:val="24"/>
          <w:szCs w:val="24"/>
          <w:lang w:val="en-US"/>
        </w:rPr>
        <w:t xml:space="preserve">, Luxembourg has </w:t>
      </w:r>
      <w:r w:rsidRPr="003450F1">
        <w:rPr>
          <w:rFonts w:ascii="Times New Roman" w:hAnsi="Times New Roman" w:cs="Times New Roman"/>
          <w:bCs/>
          <w:sz w:val="24"/>
          <w:szCs w:val="24"/>
          <w:lang w:val="en-US"/>
        </w:rPr>
        <w:t xml:space="preserve">launched initiatives to </w:t>
      </w:r>
      <w:r w:rsidR="00F07A13" w:rsidRPr="003450F1">
        <w:rPr>
          <w:rFonts w:ascii="Times New Roman" w:hAnsi="Times New Roman" w:cs="Times New Roman"/>
          <w:bCs/>
          <w:sz w:val="24"/>
          <w:szCs w:val="24"/>
          <w:lang w:val="en-US"/>
        </w:rPr>
        <w:t xml:space="preserve">enhance </w:t>
      </w:r>
      <w:r w:rsidR="001A711E" w:rsidRPr="003450F1">
        <w:rPr>
          <w:rFonts w:ascii="Times New Roman" w:hAnsi="Times New Roman" w:cs="Times New Roman"/>
          <w:bCs/>
          <w:sz w:val="24"/>
          <w:szCs w:val="24"/>
          <w:lang w:val="en-US"/>
        </w:rPr>
        <w:t xml:space="preserve">awareness about the risks linked to ICT and </w:t>
      </w:r>
      <w:r w:rsidRPr="003450F1">
        <w:rPr>
          <w:rFonts w:ascii="Times New Roman" w:hAnsi="Times New Roman" w:cs="Times New Roman"/>
          <w:bCs/>
          <w:sz w:val="24"/>
          <w:szCs w:val="24"/>
          <w:lang w:val="en-US"/>
        </w:rPr>
        <w:t>to contribute</w:t>
      </w:r>
      <w:r w:rsidR="001A711E" w:rsidRPr="003450F1">
        <w:rPr>
          <w:rFonts w:ascii="Times New Roman" w:hAnsi="Times New Roman" w:cs="Times New Roman"/>
          <w:bCs/>
          <w:sz w:val="24"/>
          <w:szCs w:val="24"/>
          <w:lang w:val="en-US"/>
        </w:rPr>
        <w:t xml:space="preserve"> to a more secure use of those technologies</w:t>
      </w:r>
      <w:r w:rsidRPr="003450F1">
        <w:rPr>
          <w:rFonts w:ascii="Times New Roman" w:hAnsi="Times New Roman" w:cs="Times New Roman"/>
          <w:bCs/>
          <w:sz w:val="24"/>
          <w:szCs w:val="24"/>
          <w:lang w:val="en-US"/>
        </w:rPr>
        <w:t>. In this respect, it is noteworthy to mention, for instance, the creation of a national website called ‘BEE SECURE’,</w:t>
      </w:r>
      <w:r w:rsidR="001A711E" w:rsidRPr="003450F1">
        <w:rPr>
          <w:rStyle w:val="Odwoanieprzypisudolnego"/>
          <w:rFonts w:ascii="Times New Roman" w:hAnsi="Times New Roman" w:cs="Times New Roman"/>
          <w:bCs/>
          <w:sz w:val="24"/>
          <w:szCs w:val="24"/>
          <w:lang w:val="en-US"/>
        </w:rPr>
        <w:footnoteReference w:id="7"/>
      </w:r>
      <w:r w:rsidRPr="003450F1">
        <w:rPr>
          <w:rFonts w:ascii="Times New Roman" w:hAnsi="Times New Roman" w:cs="Times New Roman"/>
          <w:bCs/>
          <w:sz w:val="24"/>
          <w:szCs w:val="24"/>
          <w:lang w:val="en-US"/>
        </w:rPr>
        <w:t xml:space="preserve"> which </w:t>
      </w:r>
      <w:r w:rsidR="001A711E" w:rsidRPr="003450F1">
        <w:rPr>
          <w:rFonts w:ascii="Times New Roman" w:hAnsi="Times New Roman" w:cs="Times New Roman"/>
          <w:bCs/>
          <w:sz w:val="24"/>
          <w:szCs w:val="24"/>
          <w:lang w:val="en-US"/>
        </w:rPr>
        <w:t>offers citizens an online hotli</w:t>
      </w:r>
      <w:r w:rsidR="00311803" w:rsidRPr="003450F1">
        <w:rPr>
          <w:rFonts w:ascii="Times New Roman" w:hAnsi="Times New Roman" w:cs="Times New Roman"/>
          <w:bCs/>
          <w:sz w:val="24"/>
          <w:szCs w:val="24"/>
          <w:lang w:val="en-US"/>
        </w:rPr>
        <w:t>ne to report illegal content anony</w:t>
      </w:r>
      <w:r w:rsidR="001A711E" w:rsidRPr="003450F1">
        <w:rPr>
          <w:rFonts w:ascii="Times New Roman" w:hAnsi="Times New Roman" w:cs="Times New Roman"/>
          <w:bCs/>
          <w:sz w:val="24"/>
          <w:szCs w:val="24"/>
          <w:lang w:val="en-US"/>
        </w:rPr>
        <w:t>mously</w:t>
      </w:r>
      <w:r w:rsidRPr="003450F1">
        <w:rPr>
          <w:rFonts w:ascii="Times New Roman" w:hAnsi="Times New Roman" w:cs="Times New Roman"/>
          <w:bCs/>
          <w:sz w:val="24"/>
          <w:szCs w:val="24"/>
          <w:lang w:val="en-US"/>
        </w:rPr>
        <w:t>,</w:t>
      </w:r>
      <w:r w:rsidR="001A711E" w:rsidRPr="003450F1">
        <w:rPr>
          <w:rStyle w:val="Odwoanieprzypisudolnego"/>
          <w:rFonts w:ascii="Times New Roman" w:hAnsi="Times New Roman" w:cs="Times New Roman"/>
          <w:bCs/>
          <w:sz w:val="24"/>
          <w:szCs w:val="24"/>
          <w:lang w:val="en-US"/>
        </w:rPr>
        <w:footnoteReference w:id="8"/>
      </w:r>
      <w:r w:rsidR="001A711E" w:rsidRPr="003450F1">
        <w:rPr>
          <w:rFonts w:ascii="Times New Roman" w:hAnsi="Times New Roman" w:cs="Times New Roman"/>
          <w:bCs/>
          <w:sz w:val="24"/>
          <w:szCs w:val="24"/>
          <w:lang w:val="en-US"/>
        </w:rPr>
        <w:t xml:space="preserve"> </w:t>
      </w:r>
      <w:r w:rsidRPr="003450F1">
        <w:rPr>
          <w:rFonts w:ascii="Times New Roman" w:hAnsi="Times New Roman" w:cs="Times New Roman"/>
          <w:bCs/>
          <w:sz w:val="24"/>
          <w:szCs w:val="24"/>
          <w:lang w:val="en-US"/>
        </w:rPr>
        <w:t xml:space="preserve">and </w:t>
      </w:r>
      <w:r w:rsidR="001A711E" w:rsidRPr="003450F1">
        <w:rPr>
          <w:rFonts w:ascii="Times New Roman" w:hAnsi="Times New Roman" w:cs="Times New Roman"/>
          <w:bCs/>
          <w:sz w:val="24"/>
          <w:szCs w:val="24"/>
          <w:lang w:val="en-US"/>
        </w:rPr>
        <w:t>Luxembourg</w:t>
      </w:r>
      <w:r w:rsidRPr="003450F1">
        <w:rPr>
          <w:rFonts w:ascii="Times New Roman" w:hAnsi="Times New Roman" w:cs="Times New Roman"/>
          <w:bCs/>
          <w:sz w:val="24"/>
          <w:szCs w:val="24"/>
          <w:lang w:val="en-US"/>
        </w:rPr>
        <w:t>’s</w:t>
      </w:r>
      <w:r w:rsidR="001A711E" w:rsidRPr="003450F1">
        <w:rPr>
          <w:rFonts w:ascii="Times New Roman" w:hAnsi="Times New Roman" w:cs="Times New Roman"/>
          <w:bCs/>
          <w:sz w:val="24"/>
          <w:szCs w:val="24"/>
          <w:lang w:val="en-US"/>
        </w:rPr>
        <w:t xml:space="preserve"> member</w:t>
      </w:r>
      <w:r w:rsidRPr="003450F1">
        <w:rPr>
          <w:rFonts w:ascii="Times New Roman" w:hAnsi="Times New Roman" w:cs="Times New Roman"/>
          <w:bCs/>
          <w:sz w:val="24"/>
          <w:szCs w:val="24"/>
          <w:lang w:val="en-US"/>
        </w:rPr>
        <w:t>ship</w:t>
      </w:r>
      <w:r w:rsidR="001A711E" w:rsidRPr="003450F1">
        <w:rPr>
          <w:rFonts w:ascii="Times New Roman" w:hAnsi="Times New Roman" w:cs="Times New Roman"/>
          <w:bCs/>
          <w:sz w:val="24"/>
          <w:szCs w:val="24"/>
          <w:lang w:val="en-US"/>
        </w:rPr>
        <w:t xml:space="preserve"> of the international INHOPE network, acting against various illegal activities on the </w:t>
      </w:r>
      <w:r w:rsidR="00505433" w:rsidRPr="003450F1">
        <w:rPr>
          <w:rFonts w:ascii="Times New Roman" w:hAnsi="Times New Roman" w:cs="Times New Roman"/>
          <w:bCs/>
          <w:sz w:val="24"/>
          <w:szCs w:val="24"/>
          <w:lang w:val="en-US"/>
        </w:rPr>
        <w:t>Internet</w:t>
      </w:r>
      <w:r w:rsidR="001A711E" w:rsidRPr="003450F1">
        <w:rPr>
          <w:rFonts w:ascii="Times New Roman" w:hAnsi="Times New Roman" w:cs="Times New Roman"/>
          <w:bCs/>
          <w:sz w:val="24"/>
          <w:szCs w:val="24"/>
          <w:lang w:val="en-US"/>
        </w:rPr>
        <w:t>.</w:t>
      </w:r>
      <w:r w:rsidR="001A711E" w:rsidRPr="003450F1">
        <w:rPr>
          <w:rStyle w:val="Odwoanieprzypisudolnego"/>
          <w:rFonts w:ascii="Times New Roman" w:hAnsi="Times New Roman" w:cs="Times New Roman"/>
          <w:bCs/>
          <w:sz w:val="24"/>
          <w:szCs w:val="24"/>
          <w:lang w:val="en-US"/>
        </w:rPr>
        <w:footnoteReference w:id="9"/>
      </w:r>
    </w:p>
    <w:p w14:paraId="23802FF6" w14:textId="77777777" w:rsidR="001A711E" w:rsidRPr="003450F1" w:rsidRDefault="001A711E" w:rsidP="001A711E">
      <w:pPr>
        <w:pStyle w:val="Hoofdtekst"/>
        <w:spacing w:after="120"/>
        <w:jc w:val="both"/>
        <w:rPr>
          <w:rFonts w:ascii="Times New Roman" w:hAnsi="Times New Roman" w:cs="Times New Roman"/>
          <w:bCs/>
          <w:sz w:val="24"/>
          <w:szCs w:val="24"/>
          <w:lang w:val="en-US"/>
        </w:rPr>
      </w:pPr>
    </w:p>
    <w:p w14:paraId="07BCB741" w14:textId="77777777"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1. How providers of publicly available telecommunication technologies are classified in the legal system of your country?</w:t>
      </w:r>
    </w:p>
    <w:p w14:paraId="3023B9D6" w14:textId="1AAB0632" w:rsidR="009D40E6" w:rsidRPr="003450F1" w:rsidRDefault="009D40E6" w:rsidP="009D4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3450F1">
        <w:rPr>
          <w:rFonts w:eastAsiaTheme="minorEastAsia"/>
          <w:bdr w:val="none" w:sz="0" w:space="0" w:color="auto"/>
          <w:lang w:eastAsia="nl-NL"/>
        </w:rPr>
        <w:t xml:space="preserve">By means of a </w:t>
      </w:r>
      <w:r w:rsidRPr="003450F1">
        <w:rPr>
          <w:rFonts w:eastAsiaTheme="minorEastAsia"/>
          <w:i/>
          <w:bdr w:val="none" w:sz="0" w:space="0" w:color="auto"/>
          <w:lang w:eastAsia="nl-NL"/>
        </w:rPr>
        <w:t>preliminary observation</w:t>
      </w:r>
      <w:r w:rsidRPr="003450F1">
        <w:rPr>
          <w:rFonts w:eastAsiaTheme="minorEastAsia"/>
          <w:bdr w:val="none" w:sz="0" w:space="0" w:color="auto"/>
          <w:lang w:eastAsia="nl-NL"/>
        </w:rPr>
        <w:t xml:space="preserve">, it is noteworthy that the general term </w:t>
      </w:r>
      <w:r w:rsidRPr="003450F1">
        <w:rPr>
          <w:rFonts w:eastAsiaTheme="minorEastAsia"/>
          <w:i/>
          <w:bdr w:val="none" w:sz="0" w:space="0" w:color="auto"/>
          <w:lang w:eastAsia="nl-NL"/>
        </w:rPr>
        <w:t>service provider</w:t>
      </w:r>
      <w:r w:rsidRPr="003450F1">
        <w:rPr>
          <w:rFonts w:eastAsiaTheme="minorEastAsia"/>
          <w:bdr w:val="none" w:sz="0" w:space="0" w:color="auto"/>
          <w:lang w:eastAsia="nl-NL"/>
        </w:rPr>
        <w:t xml:space="preserve"> is used in several Luxembourgish laws relating to telecommunication</w:t>
      </w:r>
      <w:r w:rsidR="005C5A34" w:rsidRPr="003450F1">
        <w:rPr>
          <w:rFonts w:eastAsiaTheme="minorEastAsia"/>
          <w:bdr w:val="none" w:sz="0" w:space="0" w:color="auto"/>
          <w:lang w:eastAsia="nl-NL"/>
        </w:rPr>
        <w:t>s</w:t>
      </w:r>
      <w:r w:rsidRPr="003450F1">
        <w:rPr>
          <w:rFonts w:eastAsiaTheme="minorEastAsia"/>
          <w:bdr w:val="none" w:sz="0" w:space="0" w:color="auto"/>
          <w:lang w:eastAsia="nl-NL"/>
        </w:rPr>
        <w:t xml:space="preserve"> technologies and electronic services. However, depending on the legislation in </w:t>
      </w:r>
      <w:r w:rsidR="00F07A13" w:rsidRPr="003450F1">
        <w:rPr>
          <w:rFonts w:eastAsiaTheme="minorEastAsia"/>
          <w:bdr w:val="none" w:sz="0" w:space="0" w:color="auto"/>
          <w:lang w:eastAsia="nl-NL"/>
        </w:rPr>
        <w:t>question</w:t>
      </w:r>
      <w:r w:rsidRPr="003450F1">
        <w:rPr>
          <w:rFonts w:eastAsiaTheme="minorEastAsia"/>
          <w:bdr w:val="none" w:sz="0" w:space="0" w:color="auto"/>
          <w:lang w:eastAsia="nl-NL"/>
        </w:rPr>
        <w:t>, the meaning of the term differs. To a large extent, the differences are due to the underlying European legal instruments. Hence, in order to determine the scope of application of a certain law, one should always start by checking which kind</w:t>
      </w:r>
      <w:r w:rsidR="00505433" w:rsidRPr="003450F1">
        <w:rPr>
          <w:rFonts w:eastAsiaTheme="minorEastAsia"/>
          <w:bdr w:val="none" w:sz="0" w:space="0" w:color="auto"/>
          <w:lang w:eastAsia="nl-NL"/>
        </w:rPr>
        <w:t>s</w:t>
      </w:r>
      <w:r w:rsidRPr="003450F1">
        <w:rPr>
          <w:rFonts w:eastAsiaTheme="minorEastAsia"/>
          <w:bdr w:val="none" w:sz="0" w:space="0" w:color="auto"/>
          <w:lang w:eastAsia="nl-NL"/>
        </w:rPr>
        <w:t xml:space="preserve"> of providers </w:t>
      </w:r>
      <w:r w:rsidR="00505433" w:rsidRPr="003450F1">
        <w:rPr>
          <w:rFonts w:eastAsiaTheme="minorEastAsia"/>
          <w:bdr w:val="none" w:sz="0" w:space="0" w:color="auto"/>
          <w:lang w:eastAsia="nl-NL"/>
        </w:rPr>
        <w:t xml:space="preserve">are </w:t>
      </w:r>
      <w:r w:rsidRPr="003450F1">
        <w:rPr>
          <w:rFonts w:eastAsiaTheme="minorEastAsia"/>
          <w:bdr w:val="none" w:sz="0" w:space="0" w:color="auto"/>
          <w:lang w:eastAsia="nl-NL"/>
        </w:rPr>
        <w:t>covered.</w:t>
      </w:r>
    </w:p>
    <w:p w14:paraId="0809F5F4" w14:textId="79377C23" w:rsidR="00531C66" w:rsidRPr="003450F1" w:rsidRDefault="009D40E6" w:rsidP="009D4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3450F1">
        <w:rPr>
          <w:bCs/>
        </w:rPr>
        <w:t>The</w:t>
      </w:r>
      <w:r w:rsidRPr="003450F1">
        <w:rPr>
          <w:b/>
          <w:bCs/>
        </w:rPr>
        <w:t xml:space="preserve"> </w:t>
      </w:r>
      <w:r w:rsidRPr="003450F1">
        <w:rPr>
          <w:bCs/>
          <w:i/>
        </w:rPr>
        <w:t>Law of 30 May 2005</w:t>
      </w:r>
      <w:r w:rsidRPr="003450F1">
        <w:rPr>
          <w:bCs/>
        </w:rPr>
        <w:t xml:space="preserve"> concerning the protection of privacy relating to the processing of personal data in the electronic communications sector</w:t>
      </w:r>
      <w:r w:rsidRPr="003450F1">
        <w:rPr>
          <w:rStyle w:val="Odwoanieprzypisudolnego"/>
          <w:bCs/>
        </w:rPr>
        <w:footnoteReference w:id="10"/>
      </w:r>
      <w:r w:rsidRPr="003450F1">
        <w:rPr>
          <w:bCs/>
        </w:rPr>
        <w:t xml:space="preserve"> transposes, amongst others,</w:t>
      </w:r>
      <w:r w:rsidRPr="003450F1">
        <w:rPr>
          <w:rStyle w:val="Odwoanieprzypisudolnego"/>
          <w:bCs/>
        </w:rPr>
        <w:footnoteReference w:id="11"/>
      </w:r>
      <w:r w:rsidRPr="003450F1">
        <w:rPr>
          <w:bCs/>
        </w:rPr>
        <w:t xml:space="preserve"> </w:t>
      </w:r>
      <w:r w:rsidR="003A3E0C">
        <w:rPr>
          <w:bCs/>
        </w:rPr>
        <w:t xml:space="preserve">Framework </w:t>
      </w:r>
      <w:r w:rsidR="00640B66">
        <w:rPr>
          <w:bCs/>
        </w:rPr>
        <w:t>Directive 2002/21/EC</w:t>
      </w:r>
      <w:r w:rsidR="00640B66">
        <w:rPr>
          <w:rStyle w:val="Odwoanieprzypisudolnego"/>
          <w:bCs/>
        </w:rPr>
        <w:footnoteReference w:id="12"/>
      </w:r>
      <w:r w:rsidR="00640B66">
        <w:rPr>
          <w:bCs/>
        </w:rPr>
        <w:t xml:space="preserve"> and </w:t>
      </w:r>
      <w:r w:rsidRPr="003450F1">
        <w:rPr>
          <w:bCs/>
        </w:rPr>
        <w:t>the Data Retention Directive of 2006</w:t>
      </w:r>
      <w:r w:rsidRPr="003450F1">
        <w:rPr>
          <w:bCs/>
          <w:sz w:val="20"/>
          <w:szCs w:val="20"/>
        </w:rPr>
        <w:t>.</w:t>
      </w:r>
      <w:r w:rsidRPr="003450F1">
        <w:rPr>
          <w:rStyle w:val="Odwoanieprzypisudolnego"/>
          <w:bCs/>
          <w:sz w:val="20"/>
          <w:szCs w:val="20"/>
        </w:rPr>
        <w:footnoteReference w:id="13"/>
      </w:r>
      <w:r w:rsidRPr="003450F1">
        <w:rPr>
          <w:bCs/>
          <w:sz w:val="20"/>
          <w:szCs w:val="20"/>
        </w:rPr>
        <w:t xml:space="preserve"> </w:t>
      </w:r>
      <w:r w:rsidR="00873FB4" w:rsidRPr="003450F1">
        <w:rPr>
          <w:bCs/>
        </w:rPr>
        <w:t xml:space="preserve">In particular, the 2005 Law contains the obligation for certain operators and service providers to keep traffic and location data. </w:t>
      </w:r>
      <w:r w:rsidR="00873FB4" w:rsidRPr="003450F1">
        <w:rPr>
          <w:rFonts w:eastAsiaTheme="minorEastAsia"/>
          <w:bdr w:val="none" w:sz="0" w:space="0" w:color="auto"/>
          <w:lang w:eastAsia="nl-NL"/>
        </w:rPr>
        <w:t xml:space="preserve">The 2005 Law </w:t>
      </w:r>
      <w:r w:rsidR="009A3AE1" w:rsidRPr="003450F1">
        <w:rPr>
          <w:rFonts w:eastAsiaTheme="minorEastAsia"/>
          <w:bdr w:val="none" w:sz="0" w:space="0" w:color="auto"/>
          <w:lang w:eastAsia="nl-NL"/>
        </w:rPr>
        <w:t xml:space="preserve">applies to ‘the processing of </w:t>
      </w:r>
      <w:r w:rsidR="00842873" w:rsidRPr="003450F1">
        <w:rPr>
          <w:rFonts w:eastAsiaTheme="minorEastAsia"/>
          <w:bdr w:val="none" w:sz="0" w:space="0" w:color="auto"/>
          <w:lang w:eastAsia="nl-NL"/>
        </w:rPr>
        <w:t xml:space="preserve">(…) </w:t>
      </w:r>
      <w:r w:rsidR="009A3AE1" w:rsidRPr="003450F1">
        <w:rPr>
          <w:rFonts w:eastAsiaTheme="minorEastAsia"/>
          <w:bdr w:val="none" w:sz="0" w:space="0" w:color="auto"/>
          <w:lang w:eastAsia="nl-NL"/>
        </w:rPr>
        <w:t xml:space="preserve">personal data in the </w:t>
      </w:r>
      <w:r w:rsidR="001732ED" w:rsidRPr="003450F1">
        <w:rPr>
          <w:rFonts w:eastAsiaTheme="minorEastAsia"/>
          <w:bdr w:val="none" w:sz="0" w:space="0" w:color="auto"/>
          <w:lang w:eastAsia="nl-NL"/>
        </w:rPr>
        <w:t xml:space="preserve">context </w:t>
      </w:r>
      <w:r w:rsidR="009A3AE1" w:rsidRPr="003450F1">
        <w:rPr>
          <w:rFonts w:eastAsiaTheme="minorEastAsia"/>
          <w:bdr w:val="none" w:sz="0" w:space="0" w:color="auto"/>
          <w:lang w:eastAsia="nl-NL"/>
        </w:rPr>
        <w:t xml:space="preserve">of the supply of publicly available electronic communications services </w:t>
      </w:r>
      <w:r w:rsidR="001732ED" w:rsidRPr="003450F1">
        <w:rPr>
          <w:rFonts w:eastAsiaTheme="minorEastAsia"/>
          <w:bdr w:val="none" w:sz="0" w:space="0" w:color="auto"/>
          <w:lang w:eastAsia="nl-NL"/>
        </w:rPr>
        <w:t xml:space="preserve">over the </w:t>
      </w:r>
      <w:r w:rsidR="009A3AE1" w:rsidRPr="003450F1">
        <w:rPr>
          <w:rFonts w:eastAsiaTheme="minorEastAsia"/>
          <w:bdr w:val="none" w:sz="0" w:space="0" w:color="auto"/>
          <w:lang w:eastAsia="nl-NL"/>
        </w:rPr>
        <w:t>public communications networks.’</w:t>
      </w:r>
      <w:r w:rsidR="009A3AE1" w:rsidRPr="003450F1">
        <w:rPr>
          <w:rStyle w:val="Odwoanieprzypisudolnego"/>
          <w:rFonts w:eastAsiaTheme="minorEastAsia"/>
          <w:bdr w:val="none" w:sz="0" w:space="0" w:color="auto"/>
          <w:lang w:eastAsia="nl-NL"/>
        </w:rPr>
        <w:footnoteReference w:id="14"/>
      </w:r>
      <w:r w:rsidR="009A3AE1" w:rsidRPr="003450F1">
        <w:rPr>
          <w:rFonts w:eastAsiaTheme="minorEastAsia"/>
          <w:bdr w:val="none" w:sz="0" w:space="0" w:color="auto"/>
          <w:lang w:eastAsia="nl-NL"/>
        </w:rPr>
        <w:t xml:space="preserve"> </w:t>
      </w:r>
      <w:r w:rsidR="00EF0A56">
        <w:rPr>
          <w:rFonts w:eastAsiaTheme="minorEastAsia"/>
          <w:bdr w:val="none" w:sz="0" w:space="0" w:color="auto"/>
          <w:lang w:eastAsia="nl-NL"/>
        </w:rPr>
        <w:t xml:space="preserve">In line with the definitions laid down in Framework Directive 2002/21/EC, </w:t>
      </w:r>
      <w:r w:rsidR="00EF0A56">
        <w:rPr>
          <w:rFonts w:eastAsiaTheme="minorEastAsia"/>
          <w:i/>
          <w:bdr w:val="none" w:sz="0" w:space="0" w:color="auto"/>
          <w:lang w:eastAsia="nl-NL"/>
        </w:rPr>
        <w:t>p</w:t>
      </w:r>
      <w:r w:rsidR="00873FB4" w:rsidRPr="003450F1">
        <w:rPr>
          <w:rFonts w:eastAsiaTheme="minorEastAsia"/>
          <w:i/>
          <w:bdr w:val="none" w:sz="0" w:space="0" w:color="auto"/>
          <w:lang w:eastAsia="nl-NL"/>
        </w:rPr>
        <w:t>ublic communication networks</w:t>
      </w:r>
      <w:r w:rsidR="00873FB4" w:rsidRPr="003450F1">
        <w:rPr>
          <w:rFonts w:eastAsiaTheme="minorEastAsia"/>
          <w:bdr w:val="none" w:sz="0" w:space="0" w:color="auto"/>
          <w:lang w:eastAsia="nl-NL"/>
        </w:rPr>
        <w:t xml:space="preserve"> are defined as ‘electronic communications network[s] used wholly or mainly for the provision of publicly available electronic communications services.’</w:t>
      </w:r>
      <w:r w:rsidR="00873FB4" w:rsidRPr="003450F1">
        <w:rPr>
          <w:rStyle w:val="Odwoanieprzypisudolnego"/>
          <w:rFonts w:eastAsiaTheme="minorEastAsia"/>
          <w:bdr w:val="none" w:sz="0" w:space="0" w:color="auto"/>
          <w:lang w:eastAsia="nl-NL"/>
        </w:rPr>
        <w:footnoteReference w:id="15"/>
      </w:r>
      <w:r w:rsidR="00873FB4" w:rsidRPr="003450F1">
        <w:rPr>
          <w:rFonts w:eastAsiaTheme="minorEastAsia"/>
          <w:bdr w:val="none" w:sz="0" w:space="0" w:color="auto"/>
          <w:lang w:eastAsia="nl-NL"/>
        </w:rPr>
        <w:t xml:space="preserve"> The provider of such a public communications network is referred to as the </w:t>
      </w:r>
      <w:r w:rsidR="00873FB4" w:rsidRPr="003450F1">
        <w:rPr>
          <w:rFonts w:eastAsiaTheme="minorEastAsia"/>
          <w:i/>
          <w:bdr w:val="none" w:sz="0" w:space="0" w:color="auto"/>
          <w:lang w:eastAsia="nl-NL"/>
        </w:rPr>
        <w:t>operator</w:t>
      </w:r>
      <w:r w:rsidR="00873FB4" w:rsidRPr="003450F1">
        <w:rPr>
          <w:rFonts w:eastAsiaTheme="minorEastAsia"/>
          <w:bdr w:val="none" w:sz="0" w:space="0" w:color="auto"/>
          <w:lang w:eastAsia="nl-NL"/>
        </w:rPr>
        <w:t>.</w:t>
      </w:r>
      <w:r w:rsidR="00873FB4" w:rsidRPr="003450F1">
        <w:rPr>
          <w:rStyle w:val="Odwoanieprzypisudolnego"/>
          <w:rFonts w:eastAsiaTheme="minorEastAsia"/>
          <w:bdr w:val="none" w:sz="0" w:space="0" w:color="auto"/>
          <w:lang w:eastAsia="nl-NL"/>
        </w:rPr>
        <w:footnoteReference w:id="16"/>
      </w:r>
      <w:r w:rsidR="00873FB4" w:rsidRPr="003450F1">
        <w:rPr>
          <w:rFonts w:eastAsiaTheme="minorEastAsia"/>
          <w:bdr w:val="none" w:sz="0" w:space="0" w:color="auto"/>
          <w:lang w:eastAsia="nl-NL"/>
        </w:rPr>
        <w:t xml:space="preserve"> </w:t>
      </w:r>
      <w:r w:rsidR="00531C66" w:rsidRPr="003450F1">
        <w:rPr>
          <w:rFonts w:eastAsiaTheme="minorEastAsia"/>
          <w:i/>
          <w:bdr w:val="none" w:sz="0" w:space="0" w:color="auto"/>
          <w:lang w:eastAsia="nl-NL"/>
        </w:rPr>
        <w:t>Electronic communications networks</w:t>
      </w:r>
      <w:r w:rsidR="00531C66" w:rsidRPr="003450F1">
        <w:rPr>
          <w:rFonts w:eastAsiaTheme="minorEastAsia"/>
          <w:bdr w:val="none" w:sz="0" w:space="0" w:color="auto"/>
          <w:lang w:eastAsia="nl-NL"/>
        </w:rPr>
        <w:t xml:space="preserve"> are defined as:</w:t>
      </w:r>
    </w:p>
    <w:p w14:paraId="42035316" w14:textId="79D9905B" w:rsidR="00531C66" w:rsidRPr="003450F1" w:rsidRDefault="00531C66" w:rsidP="00531C6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 xml:space="preserve">‘transmission systems and, where applicable, switching or routing equipment and other resources which permit the </w:t>
      </w:r>
      <w:r w:rsidR="003A3E0C">
        <w:rPr>
          <w:rFonts w:eastAsiaTheme="minorEastAsia"/>
          <w:bdr w:val="none" w:sz="0" w:space="0" w:color="auto"/>
          <w:lang w:eastAsia="nl-NL"/>
        </w:rPr>
        <w:t>conveyance</w:t>
      </w:r>
      <w:r w:rsidRPr="003450F1">
        <w:rPr>
          <w:rFonts w:eastAsiaTheme="minorEastAsia"/>
          <w:bdr w:val="none" w:sz="0" w:space="0" w:color="auto"/>
          <w:lang w:eastAsia="nl-NL"/>
        </w:rPr>
        <w:t xml:space="preserve"> of signals by wire, by radio, by optical or by other electromagnetic means, including satellite networks, fixed (circuit- and packet-switched, including </w:t>
      </w:r>
      <w:r w:rsidR="00F07A13" w:rsidRPr="003450F1">
        <w:rPr>
          <w:rFonts w:eastAsiaTheme="minorEastAsia"/>
          <w:bdr w:val="none" w:sz="0" w:space="0" w:color="auto"/>
          <w:lang w:eastAsia="nl-NL"/>
        </w:rPr>
        <w:t>Internet</w:t>
      </w:r>
      <w:r w:rsidRPr="003450F1">
        <w:rPr>
          <w:rFonts w:eastAsiaTheme="minorEastAsia"/>
          <w:bdr w:val="none" w:sz="0" w:space="0" w:color="auto"/>
          <w:lang w:eastAsia="nl-NL"/>
        </w:rPr>
        <w:t xml:space="preserve">) and mobile terrestrial networks, electricity cable systems, to the extent that they are used for the purpose of transmitting signals, networks used for radio and </w:t>
      </w:r>
      <w:r w:rsidRPr="003450F1">
        <w:rPr>
          <w:rFonts w:eastAsiaTheme="minorEastAsia"/>
          <w:bdr w:val="none" w:sz="0" w:space="0" w:color="auto"/>
          <w:lang w:eastAsia="nl-NL"/>
        </w:rPr>
        <w:lastRenderedPageBreak/>
        <w:t xml:space="preserve">television broadcasting, and cable television networks, irrespective of the type of information </w:t>
      </w:r>
      <w:r w:rsidR="003A3E0C">
        <w:rPr>
          <w:rFonts w:eastAsiaTheme="minorEastAsia"/>
          <w:bdr w:val="none" w:sz="0" w:space="0" w:color="auto"/>
          <w:lang w:eastAsia="nl-NL"/>
        </w:rPr>
        <w:t>conveyed</w:t>
      </w:r>
      <w:r w:rsidRPr="003450F1">
        <w:rPr>
          <w:rFonts w:eastAsiaTheme="minorEastAsia"/>
          <w:bdr w:val="none" w:sz="0" w:space="0" w:color="auto"/>
          <w:lang w:eastAsia="nl-NL"/>
        </w:rPr>
        <w:t>.’</w:t>
      </w:r>
      <w:r w:rsidR="00905434" w:rsidRPr="003450F1">
        <w:rPr>
          <w:rStyle w:val="Odwoanieprzypisudolnego"/>
          <w:rFonts w:eastAsiaTheme="minorEastAsia"/>
          <w:bdr w:val="none" w:sz="0" w:space="0" w:color="auto"/>
          <w:lang w:eastAsia="nl-NL"/>
        </w:rPr>
        <w:footnoteReference w:id="17"/>
      </w:r>
    </w:p>
    <w:p w14:paraId="329B3967" w14:textId="74562226" w:rsidR="00AA6A59" w:rsidRPr="003450F1" w:rsidRDefault="009D40E6" w:rsidP="009D4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r w:rsidRPr="003450F1">
        <w:rPr>
          <w:bCs/>
        </w:rPr>
        <w:t xml:space="preserve">The term </w:t>
      </w:r>
      <w:r w:rsidRPr="003450F1">
        <w:rPr>
          <w:bCs/>
          <w:i/>
        </w:rPr>
        <w:t>service provider</w:t>
      </w:r>
      <w:r w:rsidRPr="003450F1">
        <w:rPr>
          <w:bCs/>
        </w:rPr>
        <w:t xml:space="preserve"> </w:t>
      </w:r>
      <w:r w:rsidR="00E0417C" w:rsidRPr="003450F1">
        <w:rPr>
          <w:bCs/>
        </w:rPr>
        <w:t>(‘</w:t>
      </w:r>
      <w:proofErr w:type="spellStart"/>
      <w:r w:rsidR="00E0417C" w:rsidRPr="003450F1">
        <w:rPr>
          <w:bCs/>
          <w:i/>
        </w:rPr>
        <w:t>fournisseur</w:t>
      </w:r>
      <w:proofErr w:type="spellEnd"/>
      <w:r w:rsidR="00E0417C" w:rsidRPr="003450F1">
        <w:rPr>
          <w:bCs/>
          <w:i/>
        </w:rPr>
        <w:t xml:space="preserve"> de services</w:t>
      </w:r>
      <w:r w:rsidR="00E0417C" w:rsidRPr="003450F1">
        <w:rPr>
          <w:bCs/>
        </w:rPr>
        <w:t xml:space="preserve">’) </w:t>
      </w:r>
      <w:r w:rsidRPr="003450F1">
        <w:rPr>
          <w:bCs/>
        </w:rPr>
        <w:t>relates to providers offering a</w:t>
      </w:r>
      <w:r w:rsidR="00531C66" w:rsidRPr="003450F1">
        <w:rPr>
          <w:bCs/>
        </w:rPr>
        <w:t>n</w:t>
      </w:r>
      <w:r w:rsidRPr="003450F1">
        <w:rPr>
          <w:bCs/>
        </w:rPr>
        <w:t xml:space="preserve"> </w:t>
      </w:r>
      <w:r w:rsidRPr="003450F1">
        <w:rPr>
          <w:bCs/>
          <w:i/>
        </w:rPr>
        <w:t>electronic communications</w:t>
      </w:r>
      <w:r w:rsidR="00531C66" w:rsidRPr="003450F1">
        <w:rPr>
          <w:bCs/>
          <w:i/>
        </w:rPr>
        <w:t xml:space="preserve"> service</w:t>
      </w:r>
      <w:r w:rsidRPr="003450F1">
        <w:rPr>
          <w:bCs/>
        </w:rPr>
        <w:t>. The latter is defined as</w:t>
      </w:r>
      <w:r w:rsidR="00F07A13" w:rsidRPr="003450F1">
        <w:rPr>
          <w:bCs/>
        </w:rPr>
        <w:t>:</w:t>
      </w:r>
      <w:r w:rsidRPr="003450F1">
        <w:rPr>
          <w:bCs/>
        </w:rPr>
        <w:t xml:space="preserve"> </w:t>
      </w:r>
    </w:p>
    <w:p w14:paraId="659D0814" w14:textId="0A1B7E2A" w:rsidR="009D40E6" w:rsidRPr="003450F1" w:rsidRDefault="009D40E6" w:rsidP="00AA6A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bCs/>
        </w:rPr>
      </w:pPr>
      <w:r w:rsidRPr="003450F1">
        <w:rPr>
          <w:bCs/>
        </w:rPr>
        <w:t xml:space="preserve">‘a service normally provided </w:t>
      </w:r>
      <w:r w:rsidR="00EF0A56">
        <w:rPr>
          <w:bCs/>
        </w:rPr>
        <w:t>for</w:t>
      </w:r>
      <w:r w:rsidRPr="003450F1">
        <w:rPr>
          <w:bCs/>
        </w:rPr>
        <w:t xml:space="preserve"> remuneration, which consists </w:t>
      </w:r>
      <w:r w:rsidR="00531C66" w:rsidRPr="003450F1">
        <w:rPr>
          <w:bCs/>
        </w:rPr>
        <w:t>wholly</w:t>
      </w:r>
      <w:r w:rsidRPr="003450F1">
        <w:rPr>
          <w:bCs/>
        </w:rPr>
        <w:t xml:space="preserve"> or mainly i</w:t>
      </w:r>
      <w:r w:rsidR="00E8416E" w:rsidRPr="003450F1">
        <w:rPr>
          <w:bCs/>
        </w:rPr>
        <w:t xml:space="preserve">n the </w:t>
      </w:r>
      <w:r w:rsidR="00EF0A56">
        <w:rPr>
          <w:bCs/>
        </w:rPr>
        <w:t>conveyance</w:t>
      </w:r>
      <w:r w:rsidR="00E8416E" w:rsidRPr="003450F1">
        <w:rPr>
          <w:bCs/>
        </w:rPr>
        <w:t xml:space="preserve"> of signals </w:t>
      </w:r>
      <w:r w:rsidR="00EF0A56">
        <w:rPr>
          <w:bCs/>
        </w:rPr>
        <w:t>on</w:t>
      </w:r>
      <w:r w:rsidRPr="003450F1">
        <w:rPr>
          <w:bCs/>
        </w:rPr>
        <w:t xml:space="preserve"> electronic communication networks, including telecommunication</w:t>
      </w:r>
      <w:r w:rsidR="00EF0A56">
        <w:rPr>
          <w:bCs/>
        </w:rPr>
        <w:t>s</w:t>
      </w:r>
      <w:r w:rsidRPr="003450F1">
        <w:rPr>
          <w:bCs/>
        </w:rPr>
        <w:t xml:space="preserve"> services and transmission serv</w:t>
      </w:r>
      <w:r w:rsidR="005C5A34" w:rsidRPr="003450F1">
        <w:rPr>
          <w:bCs/>
        </w:rPr>
        <w:t xml:space="preserve">ices in networks used for radio </w:t>
      </w:r>
      <w:r w:rsidRPr="003450F1">
        <w:rPr>
          <w:bCs/>
        </w:rPr>
        <w:t xml:space="preserve">broadcasting, </w:t>
      </w:r>
      <w:r w:rsidRPr="003450F1">
        <w:rPr>
          <w:bCs/>
          <w:i/>
        </w:rPr>
        <w:t>but which excludes services providing</w:t>
      </w:r>
      <w:r w:rsidR="00905434" w:rsidRPr="003450F1">
        <w:rPr>
          <w:bCs/>
          <w:i/>
        </w:rPr>
        <w:t>, or exercising editorial control over,</w:t>
      </w:r>
      <w:r w:rsidRPr="003450F1">
        <w:rPr>
          <w:bCs/>
          <w:i/>
        </w:rPr>
        <w:t xml:space="preserve"> content transmitted </w:t>
      </w:r>
      <w:r w:rsidR="00905434" w:rsidRPr="003450F1">
        <w:rPr>
          <w:bCs/>
          <w:i/>
        </w:rPr>
        <w:t>using</w:t>
      </w:r>
      <w:r w:rsidRPr="003450F1">
        <w:rPr>
          <w:bCs/>
          <w:i/>
        </w:rPr>
        <w:t xml:space="preserve"> electronic commu</w:t>
      </w:r>
      <w:r w:rsidR="00905434" w:rsidRPr="003450F1">
        <w:rPr>
          <w:bCs/>
          <w:i/>
        </w:rPr>
        <w:t>nications networks and services</w:t>
      </w:r>
      <w:r w:rsidRPr="003450F1">
        <w:rPr>
          <w:bCs/>
        </w:rPr>
        <w:t xml:space="preserve">; </w:t>
      </w:r>
      <w:r w:rsidRPr="003450F1">
        <w:rPr>
          <w:bCs/>
          <w:i/>
        </w:rPr>
        <w:t>it</w:t>
      </w:r>
      <w:r w:rsidRPr="003450F1">
        <w:rPr>
          <w:bCs/>
        </w:rPr>
        <w:t xml:space="preserve"> </w:t>
      </w:r>
      <w:r w:rsidRPr="003450F1">
        <w:rPr>
          <w:bCs/>
          <w:i/>
        </w:rPr>
        <w:t xml:space="preserve">does not include information society </w:t>
      </w:r>
      <w:r w:rsidR="00905434" w:rsidRPr="003450F1">
        <w:rPr>
          <w:bCs/>
          <w:i/>
        </w:rPr>
        <w:t xml:space="preserve">services </w:t>
      </w:r>
      <w:r w:rsidRPr="003450F1">
        <w:rPr>
          <w:bCs/>
          <w:i/>
        </w:rPr>
        <w:t xml:space="preserve">which do not consist </w:t>
      </w:r>
      <w:r w:rsidR="00905434" w:rsidRPr="003450F1">
        <w:rPr>
          <w:bCs/>
          <w:i/>
        </w:rPr>
        <w:t>wholly or mainly in</w:t>
      </w:r>
      <w:r w:rsidRPr="003450F1">
        <w:rPr>
          <w:bCs/>
          <w:i/>
        </w:rPr>
        <w:t xml:space="preserve"> the </w:t>
      </w:r>
      <w:r w:rsidR="00EF0A56">
        <w:rPr>
          <w:bCs/>
          <w:i/>
        </w:rPr>
        <w:t>conveyance of signals on</w:t>
      </w:r>
      <w:r w:rsidRPr="003450F1">
        <w:rPr>
          <w:bCs/>
          <w:i/>
        </w:rPr>
        <w:t xml:space="preserve"> electronic communications networks</w:t>
      </w:r>
      <w:r w:rsidRPr="003450F1">
        <w:rPr>
          <w:bCs/>
        </w:rPr>
        <w:t>.’</w:t>
      </w:r>
      <w:r w:rsidRPr="003450F1">
        <w:rPr>
          <w:rStyle w:val="Odwoanieprzypisudolnego"/>
          <w:bCs/>
        </w:rPr>
        <w:footnoteReference w:id="18"/>
      </w:r>
      <w:r w:rsidRPr="003450F1">
        <w:rPr>
          <w:bCs/>
        </w:rPr>
        <w:t xml:space="preserve"> </w:t>
      </w:r>
    </w:p>
    <w:p w14:paraId="5E258DC8" w14:textId="0A52E71A" w:rsidR="00843510" w:rsidRPr="003450F1" w:rsidRDefault="009D40E6" w:rsidP="009D4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r w:rsidRPr="003450F1">
        <w:rPr>
          <w:rFonts w:eastAsiaTheme="minorEastAsia"/>
          <w:bdr w:val="none" w:sz="0" w:space="0" w:color="auto"/>
          <w:lang w:eastAsia="nl-NL"/>
        </w:rPr>
        <w:t xml:space="preserve">By contrast, Article 1 of the </w:t>
      </w:r>
      <w:r w:rsidRPr="003450F1">
        <w:rPr>
          <w:rFonts w:eastAsiaTheme="minorEastAsia"/>
          <w:i/>
          <w:bdr w:val="none" w:sz="0" w:space="0" w:color="auto"/>
          <w:lang w:eastAsia="nl-NL"/>
        </w:rPr>
        <w:t>Law of 14 August 2000</w:t>
      </w:r>
      <w:r w:rsidRPr="003450F1">
        <w:rPr>
          <w:rFonts w:eastAsiaTheme="minorEastAsia"/>
          <w:bdr w:val="none" w:sz="0" w:space="0" w:color="auto"/>
          <w:lang w:eastAsia="nl-NL"/>
        </w:rPr>
        <w:t xml:space="preserve"> on electronic commerce,</w:t>
      </w:r>
      <w:r w:rsidRPr="003450F1">
        <w:rPr>
          <w:rStyle w:val="Odwoanieprzypisudolnego"/>
          <w:rFonts w:eastAsiaTheme="minorEastAsia"/>
          <w:bdr w:val="none" w:sz="0" w:space="0" w:color="auto"/>
          <w:lang w:eastAsia="nl-NL"/>
        </w:rPr>
        <w:footnoteReference w:id="19"/>
      </w:r>
      <w:r w:rsidRPr="003450F1">
        <w:rPr>
          <w:rFonts w:eastAsiaTheme="minorEastAsia"/>
          <w:bdr w:val="none" w:sz="0" w:space="0" w:color="auto"/>
          <w:lang w:eastAsia="nl-NL"/>
        </w:rPr>
        <w:t xml:space="preserve"> implementing the Directive on Electronic Commerce,</w:t>
      </w:r>
      <w:r w:rsidRPr="003450F1">
        <w:rPr>
          <w:rStyle w:val="Odwoanieprzypisudolnego"/>
          <w:rFonts w:eastAsiaTheme="minorEastAsia"/>
          <w:bdr w:val="none" w:sz="0" w:space="0" w:color="auto"/>
          <w:lang w:eastAsia="nl-NL"/>
        </w:rPr>
        <w:footnoteReference w:id="20"/>
      </w:r>
      <w:r w:rsidRPr="003450F1">
        <w:rPr>
          <w:rFonts w:eastAsiaTheme="minorEastAsia"/>
          <w:bdr w:val="none" w:sz="0" w:space="0" w:color="auto"/>
          <w:lang w:eastAsia="nl-NL"/>
        </w:rPr>
        <w:t xml:space="preserve"> defines </w:t>
      </w:r>
      <w:r w:rsidRPr="003450F1">
        <w:rPr>
          <w:rFonts w:eastAsiaTheme="minorEastAsia"/>
          <w:i/>
          <w:bdr w:val="none" w:sz="0" w:space="0" w:color="auto"/>
          <w:lang w:eastAsia="nl-NL"/>
        </w:rPr>
        <w:t>information society</w:t>
      </w:r>
      <w:r w:rsidRPr="003450F1">
        <w:rPr>
          <w:rFonts w:eastAsiaTheme="minorEastAsia"/>
          <w:bdr w:val="none" w:sz="0" w:space="0" w:color="auto"/>
          <w:lang w:eastAsia="nl-NL"/>
        </w:rPr>
        <w:t xml:space="preserve"> </w:t>
      </w:r>
      <w:r w:rsidR="00905434" w:rsidRPr="003450F1">
        <w:rPr>
          <w:rFonts w:eastAsiaTheme="minorEastAsia"/>
          <w:i/>
          <w:bdr w:val="none" w:sz="0" w:space="0" w:color="auto"/>
          <w:lang w:eastAsia="nl-NL"/>
        </w:rPr>
        <w:t>services</w:t>
      </w:r>
      <w:r w:rsidR="00905434" w:rsidRPr="003450F1">
        <w:rPr>
          <w:rFonts w:eastAsiaTheme="minorEastAsia"/>
          <w:bdr w:val="none" w:sz="0" w:space="0" w:color="auto"/>
          <w:lang w:eastAsia="nl-NL"/>
        </w:rPr>
        <w:t xml:space="preserve"> </w:t>
      </w:r>
      <w:r w:rsidRPr="003450F1">
        <w:rPr>
          <w:rFonts w:eastAsiaTheme="minorEastAsia"/>
          <w:bdr w:val="none" w:sz="0" w:space="0" w:color="auto"/>
          <w:lang w:eastAsia="nl-NL"/>
        </w:rPr>
        <w:t>as ‘</w:t>
      </w:r>
      <w:r w:rsidR="00C90012" w:rsidRPr="003450F1">
        <w:rPr>
          <w:rFonts w:eastAsiaTheme="minorEastAsia"/>
          <w:bdr w:val="none" w:sz="0" w:space="0" w:color="auto"/>
          <w:lang w:eastAsia="nl-NL"/>
        </w:rPr>
        <w:t>any</w:t>
      </w:r>
      <w:r w:rsidRPr="003450F1">
        <w:rPr>
          <w:rFonts w:eastAsiaTheme="minorEastAsia"/>
          <w:bdr w:val="none" w:sz="0" w:space="0" w:color="auto"/>
          <w:lang w:eastAsia="nl-NL"/>
        </w:rPr>
        <w:t xml:space="preserve"> service </w:t>
      </w:r>
      <w:r w:rsidR="00C90012" w:rsidRPr="003450F1">
        <w:rPr>
          <w:rFonts w:eastAsiaTheme="minorEastAsia"/>
          <w:bdr w:val="none" w:sz="0" w:space="0" w:color="auto"/>
          <w:lang w:eastAsia="nl-NL"/>
        </w:rPr>
        <w:t xml:space="preserve">normally </w:t>
      </w:r>
      <w:r w:rsidRPr="003450F1">
        <w:rPr>
          <w:rFonts w:eastAsiaTheme="minorEastAsia"/>
          <w:bdr w:val="none" w:sz="0" w:space="0" w:color="auto"/>
          <w:lang w:eastAsia="nl-NL"/>
        </w:rPr>
        <w:t xml:space="preserve">provided </w:t>
      </w:r>
      <w:r w:rsidR="00C90012" w:rsidRPr="003450F1">
        <w:rPr>
          <w:rFonts w:eastAsiaTheme="minorEastAsia"/>
          <w:bdr w:val="none" w:sz="0" w:space="0" w:color="auto"/>
          <w:lang w:eastAsia="nl-NL"/>
        </w:rPr>
        <w:t xml:space="preserve">for </w:t>
      </w:r>
      <w:r w:rsidRPr="003450F1">
        <w:rPr>
          <w:rFonts w:eastAsiaTheme="minorEastAsia"/>
          <w:bdr w:val="none" w:sz="0" w:space="0" w:color="auto"/>
          <w:lang w:eastAsia="nl-NL"/>
        </w:rPr>
        <w:t>remuneration,</w:t>
      </w:r>
      <w:r w:rsidR="00843510" w:rsidRPr="003450F1">
        <w:rPr>
          <w:rStyle w:val="Odwoanieprzypisudolnego"/>
          <w:rFonts w:eastAsiaTheme="minorEastAsia"/>
          <w:bdr w:val="none" w:sz="0" w:space="0" w:color="auto"/>
          <w:lang w:eastAsia="nl-NL"/>
        </w:rPr>
        <w:footnoteReference w:id="21"/>
      </w:r>
      <w:r w:rsidRPr="003450F1">
        <w:rPr>
          <w:rFonts w:eastAsiaTheme="minorEastAsia"/>
          <w:bdr w:val="none" w:sz="0" w:space="0" w:color="auto"/>
          <w:lang w:eastAsia="nl-NL"/>
        </w:rPr>
        <w:t xml:space="preserve"> </w:t>
      </w:r>
      <w:r w:rsidR="00C90012" w:rsidRPr="003450F1">
        <w:rPr>
          <w:rFonts w:eastAsiaTheme="minorEastAsia"/>
          <w:bdr w:val="none" w:sz="0" w:space="0" w:color="auto"/>
          <w:lang w:eastAsia="nl-NL"/>
        </w:rPr>
        <w:t>at</w:t>
      </w:r>
      <w:r w:rsidRPr="003450F1">
        <w:rPr>
          <w:rFonts w:eastAsiaTheme="minorEastAsia"/>
          <w:bdr w:val="none" w:sz="0" w:space="0" w:color="auto"/>
          <w:lang w:eastAsia="nl-NL"/>
        </w:rPr>
        <w:t xml:space="preserve"> a distance</w:t>
      </w:r>
      <w:r w:rsidR="00C90012" w:rsidRPr="003450F1">
        <w:rPr>
          <w:rFonts w:eastAsiaTheme="minorEastAsia"/>
          <w:bdr w:val="none" w:sz="0" w:space="0" w:color="auto"/>
          <w:lang w:eastAsia="nl-NL"/>
        </w:rPr>
        <w:t xml:space="preserve"> </w:t>
      </w:r>
      <w:r w:rsidR="00B86414" w:rsidRPr="003450F1">
        <w:rPr>
          <w:rFonts w:eastAsiaTheme="minorEastAsia"/>
          <w:bdr w:val="none" w:sz="0" w:space="0" w:color="auto"/>
          <w:lang w:eastAsia="nl-NL"/>
        </w:rPr>
        <w:t xml:space="preserve">via </w:t>
      </w:r>
      <w:r w:rsidRPr="003450F1">
        <w:rPr>
          <w:rFonts w:eastAsiaTheme="minorEastAsia"/>
          <w:bdr w:val="none" w:sz="0" w:space="0" w:color="auto"/>
          <w:lang w:eastAsia="nl-NL"/>
        </w:rPr>
        <w:t>an electronic means and at the individual request of a recipient of services.’</w:t>
      </w:r>
      <w:r w:rsidR="00843510" w:rsidRPr="003450F1">
        <w:rPr>
          <w:rStyle w:val="Odwoanieprzypisudolnego"/>
          <w:rFonts w:eastAsiaTheme="minorEastAsia"/>
          <w:bdr w:val="none" w:sz="0" w:space="0" w:color="auto"/>
          <w:lang w:eastAsia="nl-NL"/>
        </w:rPr>
        <w:footnoteReference w:id="22"/>
      </w:r>
      <w:r w:rsidRPr="003450F1">
        <w:rPr>
          <w:rFonts w:eastAsiaTheme="minorEastAsia"/>
          <w:bdr w:val="none" w:sz="0" w:space="0" w:color="auto"/>
          <w:lang w:eastAsia="nl-NL"/>
        </w:rPr>
        <w:t xml:space="preserve"> </w:t>
      </w:r>
      <w:r w:rsidR="00775040" w:rsidRPr="003450F1">
        <w:rPr>
          <w:rFonts w:eastAsiaTheme="minorEastAsia"/>
          <w:bdr w:val="none" w:sz="0" w:space="0" w:color="auto"/>
          <w:lang w:eastAsia="nl-NL"/>
        </w:rPr>
        <w:t xml:space="preserve">The Law further defines the meaning of ‘from a distance,’ ‘via an electronic means’ and ‘at the individual request of a recipient of services’. </w:t>
      </w:r>
      <w:r w:rsidR="00905434" w:rsidRPr="003450F1">
        <w:rPr>
          <w:rFonts w:eastAsiaTheme="minorEastAsia"/>
          <w:bdr w:val="none" w:sz="0" w:space="0" w:color="auto"/>
          <w:lang w:eastAsia="nl-NL"/>
        </w:rPr>
        <w:t xml:space="preserve">Unlike </w:t>
      </w:r>
      <w:r w:rsidR="00216868" w:rsidRPr="003450F1">
        <w:rPr>
          <w:rFonts w:eastAsiaTheme="minorEastAsia"/>
          <w:bdr w:val="none" w:sz="0" w:space="0" w:color="auto"/>
          <w:lang w:eastAsia="nl-NL"/>
        </w:rPr>
        <w:t xml:space="preserve">the notion of </w:t>
      </w:r>
      <w:r w:rsidR="00905434" w:rsidRPr="003450F1">
        <w:rPr>
          <w:rFonts w:eastAsiaTheme="minorEastAsia"/>
          <w:bdr w:val="none" w:sz="0" w:space="0" w:color="auto"/>
          <w:lang w:eastAsia="nl-NL"/>
        </w:rPr>
        <w:t>electronic communication services</w:t>
      </w:r>
      <w:r w:rsidR="00216868" w:rsidRPr="003450F1">
        <w:rPr>
          <w:rFonts w:eastAsiaTheme="minorEastAsia"/>
          <w:bdr w:val="none" w:sz="0" w:space="0" w:color="auto"/>
          <w:lang w:eastAsia="nl-NL"/>
        </w:rPr>
        <w:t xml:space="preserve"> (</w:t>
      </w:r>
      <w:r w:rsidR="00216868" w:rsidRPr="003450F1">
        <w:rPr>
          <w:rFonts w:eastAsiaTheme="minorEastAsia"/>
          <w:i/>
          <w:bdr w:val="none" w:sz="0" w:space="0" w:color="auto"/>
          <w:lang w:eastAsia="nl-NL"/>
        </w:rPr>
        <w:t>supra</w:t>
      </w:r>
      <w:r w:rsidR="00216868" w:rsidRPr="003450F1">
        <w:rPr>
          <w:rFonts w:eastAsiaTheme="minorEastAsia"/>
          <w:bdr w:val="none" w:sz="0" w:space="0" w:color="auto"/>
          <w:lang w:eastAsia="nl-NL"/>
        </w:rPr>
        <w:t>)</w:t>
      </w:r>
      <w:r w:rsidR="00905434" w:rsidRPr="003450F1">
        <w:rPr>
          <w:rFonts w:eastAsiaTheme="minorEastAsia"/>
          <w:bdr w:val="none" w:sz="0" w:space="0" w:color="auto"/>
          <w:lang w:eastAsia="nl-NL"/>
        </w:rPr>
        <w:t xml:space="preserve">, </w:t>
      </w:r>
      <w:r w:rsidR="00216868" w:rsidRPr="003450F1">
        <w:rPr>
          <w:rFonts w:eastAsiaTheme="minorEastAsia"/>
          <w:bdr w:val="none" w:sz="0" w:space="0" w:color="auto"/>
          <w:lang w:eastAsia="nl-NL"/>
        </w:rPr>
        <w:t xml:space="preserve">the term </w:t>
      </w:r>
      <w:r w:rsidR="00905434" w:rsidRPr="003450F1">
        <w:rPr>
          <w:rFonts w:eastAsiaTheme="minorEastAsia"/>
          <w:bdr w:val="none" w:sz="0" w:space="0" w:color="auto"/>
          <w:lang w:eastAsia="nl-NL"/>
        </w:rPr>
        <w:t xml:space="preserve">information society services </w:t>
      </w:r>
      <w:r w:rsidR="00216868" w:rsidRPr="003450F1">
        <w:rPr>
          <w:rFonts w:eastAsiaTheme="minorEastAsia"/>
          <w:bdr w:val="none" w:sz="0" w:space="0" w:color="auto"/>
          <w:lang w:eastAsia="nl-NL"/>
        </w:rPr>
        <w:t>is</w:t>
      </w:r>
      <w:r w:rsidR="00905434" w:rsidRPr="003450F1">
        <w:rPr>
          <w:rFonts w:eastAsiaTheme="minorEastAsia"/>
          <w:bdr w:val="none" w:sz="0" w:space="0" w:color="auto"/>
          <w:lang w:eastAsia="nl-NL"/>
        </w:rPr>
        <w:t xml:space="preserve"> </w:t>
      </w:r>
      <w:r w:rsidR="00216868" w:rsidRPr="003450F1">
        <w:rPr>
          <w:rFonts w:eastAsiaTheme="minorEastAsia"/>
          <w:bdr w:val="none" w:sz="0" w:space="0" w:color="auto"/>
          <w:lang w:eastAsia="nl-NL"/>
        </w:rPr>
        <w:t xml:space="preserve">thus </w:t>
      </w:r>
      <w:r w:rsidR="00905434" w:rsidRPr="003450F1">
        <w:rPr>
          <w:rFonts w:eastAsiaTheme="minorEastAsia"/>
          <w:bdr w:val="none" w:sz="0" w:space="0" w:color="auto"/>
          <w:lang w:eastAsia="nl-NL"/>
        </w:rPr>
        <w:t xml:space="preserve">defined in a less technical and more functional way. </w:t>
      </w:r>
      <w:r w:rsidR="006324EE" w:rsidRPr="003450F1">
        <w:rPr>
          <w:rFonts w:eastAsiaTheme="minorEastAsia"/>
          <w:bdr w:val="none" w:sz="0" w:space="0" w:color="auto"/>
          <w:lang w:eastAsia="nl-NL"/>
        </w:rPr>
        <w:t xml:space="preserve">With </w:t>
      </w:r>
      <w:r w:rsidR="00843510" w:rsidRPr="003450F1">
        <w:rPr>
          <w:rFonts w:eastAsiaTheme="minorEastAsia"/>
          <w:bdr w:val="none" w:sz="0" w:space="0" w:color="auto"/>
          <w:lang w:eastAsia="nl-NL"/>
        </w:rPr>
        <w:t xml:space="preserve">respect to </w:t>
      </w:r>
      <w:r w:rsidR="009139E2" w:rsidRPr="003450F1">
        <w:rPr>
          <w:rFonts w:eastAsiaTheme="minorEastAsia"/>
          <w:bdr w:val="none" w:sz="0" w:space="0" w:color="auto"/>
          <w:lang w:eastAsia="nl-NL"/>
        </w:rPr>
        <w:t xml:space="preserve">these </w:t>
      </w:r>
      <w:r w:rsidR="00843510" w:rsidRPr="003450F1">
        <w:rPr>
          <w:rFonts w:eastAsiaTheme="minorEastAsia"/>
          <w:bdr w:val="none" w:sz="0" w:space="0" w:color="auto"/>
          <w:lang w:eastAsia="nl-NL"/>
        </w:rPr>
        <w:t xml:space="preserve">information society services, </w:t>
      </w:r>
      <w:r w:rsidR="00213186" w:rsidRPr="003450F1">
        <w:rPr>
          <w:rFonts w:eastAsiaTheme="minorEastAsia"/>
          <w:bdr w:val="none" w:sz="0" w:space="0" w:color="auto"/>
          <w:lang w:eastAsia="nl-NL"/>
        </w:rPr>
        <w:t xml:space="preserve">the term </w:t>
      </w:r>
      <w:r w:rsidRPr="003450F1">
        <w:rPr>
          <w:bCs/>
          <w:i/>
        </w:rPr>
        <w:t>service providers</w:t>
      </w:r>
      <w:r w:rsidR="00843510" w:rsidRPr="003450F1">
        <w:rPr>
          <w:bCs/>
        </w:rPr>
        <w:t xml:space="preserve"> </w:t>
      </w:r>
      <w:r w:rsidR="009139E2" w:rsidRPr="003450F1">
        <w:rPr>
          <w:bCs/>
        </w:rPr>
        <w:t>(</w:t>
      </w:r>
      <w:r w:rsidR="00213186" w:rsidRPr="003450F1">
        <w:rPr>
          <w:bCs/>
        </w:rPr>
        <w:t>‘</w:t>
      </w:r>
      <w:proofErr w:type="spellStart"/>
      <w:r w:rsidR="009139E2" w:rsidRPr="003450F1">
        <w:rPr>
          <w:bCs/>
          <w:i/>
        </w:rPr>
        <w:t>prestataires</w:t>
      </w:r>
      <w:proofErr w:type="spellEnd"/>
      <w:r w:rsidR="009139E2" w:rsidRPr="003450F1">
        <w:rPr>
          <w:bCs/>
        </w:rPr>
        <w:t xml:space="preserve">’) </w:t>
      </w:r>
      <w:r w:rsidR="00843510" w:rsidRPr="003450F1">
        <w:rPr>
          <w:bCs/>
        </w:rPr>
        <w:t>extends to</w:t>
      </w:r>
      <w:r w:rsidR="009139E2" w:rsidRPr="003450F1">
        <w:rPr>
          <w:bCs/>
        </w:rPr>
        <w:t xml:space="preserve"> any natural or legal person</w:t>
      </w:r>
      <w:r w:rsidR="009139E2" w:rsidRPr="003450F1">
        <w:rPr>
          <w:rStyle w:val="Odwoanieprzypisudolnego"/>
          <w:bCs/>
        </w:rPr>
        <w:footnoteReference w:id="23"/>
      </w:r>
      <w:r w:rsidR="009139E2" w:rsidRPr="003450F1">
        <w:rPr>
          <w:bCs/>
        </w:rPr>
        <w:t xml:space="preserve"> providing</w:t>
      </w:r>
      <w:r w:rsidRPr="003450F1">
        <w:rPr>
          <w:bCs/>
        </w:rPr>
        <w:t xml:space="preserve"> </w:t>
      </w:r>
      <w:r w:rsidR="00F07A13" w:rsidRPr="003450F1">
        <w:rPr>
          <w:bCs/>
        </w:rPr>
        <w:t>Internet</w:t>
      </w:r>
      <w:r w:rsidRPr="003450F1">
        <w:rPr>
          <w:bCs/>
        </w:rPr>
        <w:t xml:space="preserve"> access or simply transmit information in a </w:t>
      </w:r>
      <w:r w:rsidR="006324EE" w:rsidRPr="003450F1">
        <w:rPr>
          <w:bCs/>
        </w:rPr>
        <w:t>communication</w:t>
      </w:r>
      <w:r w:rsidRPr="003450F1">
        <w:rPr>
          <w:bCs/>
        </w:rPr>
        <w:t xml:space="preserve"> network (‘mere conduit’),</w:t>
      </w:r>
      <w:r w:rsidRPr="003450F1">
        <w:rPr>
          <w:rStyle w:val="Odwoanieprzypisudolnego"/>
          <w:bCs/>
        </w:rPr>
        <w:footnoteReference w:id="24"/>
      </w:r>
      <w:r w:rsidRPr="003450F1">
        <w:rPr>
          <w:bCs/>
        </w:rPr>
        <w:t xml:space="preserve"> proceed</w:t>
      </w:r>
      <w:r w:rsidR="009139E2" w:rsidRPr="003450F1">
        <w:rPr>
          <w:bCs/>
        </w:rPr>
        <w:t>ing</w:t>
      </w:r>
      <w:r w:rsidRPr="003450F1">
        <w:rPr>
          <w:bCs/>
        </w:rPr>
        <w:t xml:space="preserve"> to the automatic, intermediate and temporary storage of such information (‘caching’; e.g. proxy servers)</w:t>
      </w:r>
      <w:r w:rsidRPr="003450F1">
        <w:rPr>
          <w:rStyle w:val="Odwoanieprzypisudolnego"/>
          <w:bCs/>
        </w:rPr>
        <w:footnoteReference w:id="25"/>
      </w:r>
      <w:r w:rsidRPr="003450F1">
        <w:rPr>
          <w:bCs/>
        </w:rPr>
        <w:t xml:space="preserve"> and</w:t>
      </w:r>
      <w:r w:rsidR="00892E06" w:rsidRPr="003450F1">
        <w:rPr>
          <w:bCs/>
        </w:rPr>
        <w:t xml:space="preserve"> </w:t>
      </w:r>
      <w:r w:rsidR="009139E2" w:rsidRPr="003450F1">
        <w:rPr>
          <w:bCs/>
        </w:rPr>
        <w:t>storing</w:t>
      </w:r>
      <w:r w:rsidRPr="003450F1">
        <w:rPr>
          <w:bCs/>
        </w:rPr>
        <w:t xml:space="preserve"> the information provided by a recipient of the service (‘hosting’; e.g. Facebook, Twitter, Flickr or YouTube).</w:t>
      </w:r>
      <w:r w:rsidRPr="003450F1">
        <w:rPr>
          <w:rStyle w:val="Odwoanieprzypisudolnego"/>
          <w:bCs/>
        </w:rPr>
        <w:footnoteReference w:id="26"/>
      </w:r>
    </w:p>
    <w:p w14:paraId="169ACDFB" w14:textId="276C4275" w:rsidR="006B3031" w:rsidRPr="003450F1" w:rsidRDefault="006B3031" w:rsidP="009D40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r w:rsidRPr="003450F1">
        <w:rPr>
          <w:bCs/>
        </w:rPr>
        <w:t xml:space="preserve">A similar distinction between electronic communications services and information society services is made by the </w:t>
      </w:r>
      <w:r w:rsidRPr="003450F1">
        <w:rPr>
          <w:rFonts w:eastAsiaTheme="minorEastAsia"/>
          <w:i/>
          <w:bdr w:val="none" w:sz="0" w:space="0" w:color="auto"/>
          <w:lang w:eastAsia="nl-NL"/>
        </w:rPr>
        <w:t>Law of 27 February 2011</w:t>
      </w:r>
      <w:r w:rsidRPr="003450F1">
        <w:rPr>
          <w:rFonts w:eastAsiaTheme="minorEastAsia"/>
          <w:bdr w:val="none" w:sz="0" w:space="0" w:color="auto"/>
          <w:lang w:eastAsia="nl-NL"/>
        </w:rPr>
        <w:t xml:space="preserve"> </w:t>
      </w:r>
      <w:r w:rsidRPr="003450F1">
        <w:rPr>
          <w:bCs/>
        </w:rPr>
        <w:t xml:space="preserve">on </w:t>
      </w:r>
      <w:r w:rsidR="00CA6A28" w:rsidRPr="003450F1">
        <w:rPr>
          <w:bCs/>
        </w:rPr>
        <w:t xml:space="preserve">electronic communications </w:t>
      </w:r>
      <w:r w:rsidRPr="003450F1">
        <w:rPr>
          <w:bCs/>
        </w:rPr>
        <w:t xml:space="preserve">networks and </w:t>
      </w:r>
      <w:r w:rsidR="00CA6A28" w:rsidRPr="003450F1">
        <w:rPr>
          <w:bCs/>
        </w:rPr>
        <w:t>services</w:t>
      </w:r>
      <w:r w:rsidRPr="003450F1">
        <w:rPr>
          <w:bCs/>
        </w:rPr>
        <w:t>.</w:t>
      </w:r>
      <w:r w:rsidRPr="003450F1">
        <w:rPr>
          <w:rStyle w:val="Odwoanieprzypisudolnego"/>
          <w:bCs/>
        </w:rPr>
        <w:footnoteReference w:id="27"/>
      </w:r>
      <w:r w:rsidRPr="003450F1">
        <w:rPr>
          <w:bCs/>
        </w:rPr>
        <w:t xml:space="preserve"> </w:t>
      </w:r>
      <w:r w:rsidR="007416F4" w:rsidRPr="003450F1">
        <w:rPr>
          <w:bCs/>
        </w:rPr>
        <w:t xml:space="preserve">This Law defines </w:t>
      </w:r>
      <w:r w:rsidR="00126B7F" w:rsidRPr="003450F1">
        <w:rPr>
          <w:bCs/>
        </w:rPr>
        <w:t>a public communication network</w:t>
      </w:r>
      <w:r w:rsidR="007416F4" w:rsidRPr="003450F1">
        <w:rPr>
          <w:bCs/>
        </w:rPr>
        <w:t xml:space="preserve"> as ‘</w:t>
      </w:r>
      <w:r w:rsidR="00126B7F" w:rsidRPr="003450F1">
        <w:rPr>
          <w:bCs/>
        </w:rPr>
        <w:t xml:space="preserve">an </w:t>
      </w:r>
      <w:r w:rsidR="007416F4" w:rsidRPr="003450F1">
        <w:rPr>
          <w:bCs/>
        </w:rPr>
        <w:t>electronic communications network used wholly or mainly for</w:t>
      </w:r>
      <w:r w:rsidR="00126B7F" w:rsidRPr="003450F1">
        <w:rPr>
          <w:bCs/>
        </w:rPr>
        <w:t xml:space="preserve"> the provision of publicly available electronic communications services </w:t>
      </w:r>
      <w:r w:rsidR="00126B7F" w:rsidRPr="003450F1">
        <w:rPr>
          <w:bCs/>
          <w:i/>
        </w:rPr>
        <w:t xml:space="preserve">which enables the transmission of information between the </w:t>
      </w:r>
      <w:r w:rsidR="00531C66" w:rsidRPr="003450F1">
        <w:rPr>
          <w:bCs/>
          <w:i/>
        </w:rPr>
        <w:t>end points</w:t>
      </w:r>
      <w:r w:rsidR="00126B7F" w:rsidRPr="003450F1">
        <w:rPr>
          <w:bCs/>
          <w:i/>
        </w:rPr>
        <w:t xml:space="preserve"> of the network</w:t>
      </w:r>
      <w:r w:rsidR="00126B7F" w:rsidRPr="003450F1">
        <w:rPr>
          <w:bCs/>
        </w:rPr>
        <w:t>.’</w:t>
      </w:r>
      <w:r w:rsidR="00126B7F" w:rsidRPr="003450F1">
        <w:rPr>
          <w:rStyle w:val="Odwoanieprzypisudolnego"/>
          <w:bCs/>
        </w:rPr>
        <w:footnoteReference w:id="28"/>
      </w:r>
      <w:r w:rsidR="00126B7F" w:rsidRPr="003450F1">
        <w:rPr>
          <w:bCs/>
        </w:rPr>
        <w:t xml:space="preserve"> </w:t>
      </w:r>
      <w:r w:rsidR="00775040" w:rsidRPr="003450F1">
        <w:rPr>
          <w:bCs/>
        </w:rPr>
        <w:t xml:space="preserve">The term </w:t>
      </w:r>
      <w:r w:rsidRPr="003450F1">
        <w:rPr>
          <w:bCs/>
          <w:i/>
        </w:rPr>
        <w:t>info</w:t>
      </w:r>
      <w:r w:rsidR="00126B7F" w:rsidRPr="003450F1">
        <w:rPr>
          <w:bCs/>
          <w:i/>
        </w:rPr>
        <w:t>rmation society services</w:t>
      </w:r>
      <w:r w:rsidR="00775040" w:rsidRPr="003450F1">
        <w:rPr>
          <w:bCs/>
        </w:rPr>
        <w:t xml:space="preserve"> is defined in the same way as in the aforementioned Law of 14 August 2000,</w:t>
      </w:r>
      <w:r w:rsidRPr="003450F1">
        <w:rPr>
          <w:rFonts w:eastAsiaTheme="minorEastAsia"/>
          <w:bdr w:val="none" w:sz="0" w:space="0" w:color="auto"/>
          <w:lang w:eastAsia="nl-NL"/>
        </w:rPr>
        <w:t xml:space="preserve"> </w:t>
      </w:r>
      <w:r w:rsidR="00775040" w:rsidRPr="003450F1">
        <w:rPr>
          <w:rFonts w:eastAsiaTheme="minorEastAsia"/>
          <w:bdr w:val="none" w:sz="0" w:space="0" w:color="auto"/>
          <w:lang w:eastAsia="nl-NL"/>
        </w:rPr>
        <w:t xml:space="preserve">but it is added </w:t>
      </w:r>
      <w:r w:rsidRPr="003450F1">
        <w:rPr>
          <w:bCs/>
        </w:rPr>
        <w:t xml:space="preserve">that radio and television broadcasting services, as defined by the legislation on electronic media, are excluded from the </w:t>
      </w:r>
      <w:r w:rsidR="00F34A4E" w:rsidRPr="003450F1">
        <w:rPr>
          <w:bCs/>
        </w:rPr>
        <w:t xml:space="preserve">scope of </w:t>
      </w:r>
      <w:r w:rsidRPr="003450F1">
        <w:rPr>
          <w:bCs/>
        </w:rPr>
        <w:t>information society services.</w:t>
      </w:r>
      <w:r w:rsidRPr="003450F1">
        <w:rPr>
          <w:rStyle w:val="Odwoanieprzypisudolnego"/>
          <w:bCs/>
        </w:rPr>
        <w:footnoteReference w:id="29"/>
      </w:r>
    </w:p>
    <w:p w14:paraId="4991842E" w14:textId="19E17AAF" w:rsidR="00E756C4" w:rsidRPr="003450F1" w:rsidRDefault="009D40E6" w:rsidP="009D40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r w:rsidRPr="003450F1">
        <w:rPr>
          <w:rFonts w:eastAsiaTheme="minorEastAsia"/>
          <w:bdr w:val="none" w:sz="0" w:space="0" w:color="auto"/>
          <w:lang w:eastAsia="nl-NL"/>
        </w:rPr>
        <w:t xml:space="preserve">In sum, </w:t>
      </w:r>
      <w:r w:rsidR="009038C9">
        <w:rPr>
          <w:rFonts w:eastAsiaTheme="minorEastAsia"/>
          <w:bdr w:val="none" w:sz="0" w:space="0" w:color="auto"/>
          <w:lang w:eastAsia="nl-NL"/>
        </w:rPr>
        <w:t xml:space="preserve">in line with </w:t>
      </w:r>
      <w:r w:rsidR="00D448FA">
        <w:rPr>
          <w:rFonts w:eastAsiaTheme="minorEastAsia"/>
          <w:bdr w:val="none" w:sz="0" w:space="0" w:color="auto"/>
          <w:lang w:eastAsia="nl-NL"/>
        </w:rPr>
        <w:t xml:space="preserve">the existing </w:t>
      </w:r>
      <w:r w:rsidR="009038C9">
        <w:rPr>
          <w:rFonts w:eastAsiaTheme="minorEastAsia"/>
          <w:bdr w:val="none" w:sz="0" w:space="0" w:color="auto"/>
          <w:lang w:eastAsia="nl-NL"/>
        </w:rPr>
        <w:t xml:space="preserve">EU </w:t>
      </w:r>
      <w:r w:rsidR="00871E84">
        <w:rPr>
          <w:rFonts w:eastAsiaTheme="minorEastAsia"/>
          <w:bdr w:val="none" w:sz="0" w:space="0" w:color="auto"/>
          <w:lang w:eastAsia="nl-NL"/>
        </w:rPr>
        <w:t>legal framework</w:t>
      </w:r>
      <w:r w:rsidR="009038C9">
        <w:rPr>
          <w:rFonts w:eastAsiaTheme="minorEastAsia"/>
          <w:bdr w:val="none" w:sz="0" w:space="0" w:color="auto"/>
          <w:lang w:eastAsia="nl-NL"/>
        </w:rPr>
        <w:t xml:space="preserve">, </w:t>
      </w:r>
      <w:r w:rsidRPr="003450F1">
        <w:rPr>
          <w:rFonts w:eastAsiaTheme="minorEastAsia"/>
          <w:bdr w:val="none" w:sz="0" w:space="0" w:color="auto"/>
          <w:lang w:eastAsia="nl-NL"/>
        </w:rPr>
        <w:t xml:space="preserve">Luxembourgish law makes a distinction between providers of information society services (ISPs) and providers of </w:t>
      </w:r>
      <w:r w:rsidRPr="003450F1">
        <w:rPr>
          <w:bCs/>
        </w:rPr>
        <w:t xml:space="preserve">electronic </w:t>
      </w:r>
      <w:r w:rsidRPr="003450F1">
        <w:rPr>
          <w:bCs/>
        </w:rPr>
        <w:lastRenderedPageBreak/>
        <w:t>communications services (including IAPs</w:t>
      </w:r>
      <w:r w:rsidR="00871E84">
        <w:rPr>
          <w:bCs/>
        </w:rPr>
        <w:t>)</w:t>
      </w:r>
      <w:r w:rsidRPr="003450F1">
        <w:rPr>
          <w:bCs/>
        </w:rPr>
        <w:t>.</w:t>
      </w:r>
      <w:r w:rsidR="00E756C4" w:rsidRPr="003450F1">
        <w:rPr>
          <w:bCs/>
        </w:rPr>
        <w:t xml:space="preserve"> The distinction between both types of service providers becomes particularly relevant </w:t>
      </w:r>
      <w:r w:rsidR="00851E44" w:rsidRPr="003450F1">
        <w:rPr>
          <w:bCs/>
        </w:rPr>
        <w:t xml:space="preserve">in light of their respective </w:t>
      </w:r>
      <w:r w:rsidR="00E756C4" w:rsidRPr="003450F1">
        <w:rPr>
          <w:bCs/>
        </w:rPr>
        <w:t xml:space="preserve">data retention </w:t>
      </w:r>
      <w:r w:rsidR="001C0442" w:rsidRPr="003450F1">
        <w:rPr>
          <w:bCs/>
        </w:rPr>
        <w:t xml:space="preserve">and other legal </w:t>
      </w:r>
      <w:r w:rsidR="00E756C4" w:rsidRPr="003450F1">
        <w:rPr>
          <w:bCs/>
        </w:rPr>
        <w:t>obligations</w:t>
      </w:r>
      <w:r w:rsidR="00851E44" w:rsidRPr="003450F1">
        <w:rPr>
          <w:bCs/>
        </w:rPr>
        <w:t xml:space="preserve"> (</w:t>
      </w:r>
      <w:r w:rsidR="00851E44" w:rsidRPr="003450F1">
        <w:rPr>
          <w:bCs/>
          <w:i/>
        </w:rPr>
        <w:t>infra</w:t>
      </w:r>
      <w:r w:rsidR="00851E44" w:rsidRPr="003450F1">
        <w:rPr>
          <w:bCs/>
        </w:rPr>
        <w:t>, sub question 2)</w:t>
      </w:r>
      <w:r w:rsidR="00E756C4" w:rsidRPr="003450F1">
        <w:rPr>
          <w:bCs/>
        </w:rPr>
        <w:t>.</w:t>
      </w:r>
    </w:p>
    <w:p w14:paraId="72186961" w14:textId="77777777" w:rsidR="002A4EFC" w:rsidRPr="003450F1" w:rsidRDefault="002A4EFC" w:rsidP="009D40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p>
    <w:p w14:paraId="422D5426" w14:textId="77777777" w:rsidR="001A711E" w:rsidRPr="003450F1" w:rsidRDefault="001A711E" w:rsidP="008B409C">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2. What are the regulations concerning data retention by IAPs (i.e. providers of publicly available electronic communications services or of public communications networks) and ISPs (i.e. providers of information society services)?</w:t>
      </w:r>
    </w:p>
    <w:p w14:paraId="6A80A0B8" w14:textId="37A970BA" w:rsidR="008B409C" w:rsidRPr="003450F1" w:rsidRDefault="008B409C" w:rsidP="008B409C">
      <w:pPr>
        <w:pStyle w:val="Hoofdtekst"/>
        <w:spacing w:after="120"/>
        <w:jc w:val="both"/>
        <w:rPr>
          <w:rFonts w:ascii="Times New Roman" w:eastAsiaTheme="minorEastAsia" w:hAnsi="Times New Roman" w:cs="Times New Roman"/>
          <w:b/>
          <w:color w:val="auto"/>
          <w:sz w:val="24"/>
          <w:szCs w:val="24"/>
          <w:bdr w:val="none" w:sz="0" w:space="0" w:color="auto"/>
          <w:lang w:val="en-US" w:eastAsia="nl-NL"/>
        </w:rPr>
      </w:pPr>
      <w:r w:rsidRPr="003450F1">
        <w:rPr>
          <w:rFonts w:ascii="Times New Roman" w:eastAsiaTheme="minorEastAsia" w:hAnsi="Times New Roman" w:cs="Times New Roman"/>
          <w:b/>
          <w:color w:val="auto"/>
          <w:sz w:val="24"/>
          <w:szCs w:val="24"/>
          <w:bdr w:val="none" w:sz="0" w:space="0" w:color="auto"/>
          <w:lang w:val="en-US" w:eastAsia="nl-NL"/>
        </w:rPr>
        <w:t>Introductory remarks</w:t>
      </w:r>
      <w:r w:rsidR="00BC49F7" w:rsidRPr="003450F1">
        <w:rPr>
          <w:rFonts w:ascii="Times New Roman" w:eastAsiaTheme="minorEastAsia" w:hAnsi="Times New Roman" w:cs="Times New Roman"/>
          <w:b/>
          <w:color w:val="auto"/>
          <w:sz w:val="24"/>
          <w:szCs w:val="24"/>
          <w:bdr w:val="none" w:sz="0" w:space="0" w:color="auto"/>
          <w:lang w:val="en-US" w:eastAsia="nl-NL"/>
        </w:rPr>
        <w:t xml:space="preserve"> on the scope of application of the data retention legislation</w:t>
      </w:r>
    </w:p>
    <w:p w14:paraId="15FBBEDD" w14:textId="06245152" w:rsidR="00851E44" w:rsidRPr="003450F1" w:rsidRDefault="00FA3618" w:rsidP="008B409C">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As explained </w:t>
      </w:r>
      <w:r w:rsidRPr="003450F1">
        <w:rPr>
          <w:rFonts w:ascii="Times New Roman" w:eastAsiaTheme="minorEastAsia" w:hAnsi="Times New Roman" w:cs="Times New Roman"/>
          <w:i/>
          <w:color w:val="auto"/>
          <w:sz w:val="24"/>
          <w:szCs w:val="24"/>
          <w:bdr w:val="none" w:sz="0" w:space="0" w:color="auto"/>
          <w:lang w:val="en-US" w:eastAsia="nl-NL"/>
        </w:rPr>
        <w:t>supra</w:t>
      </w:r>
      <w:r w:rsidRPr="003450F1">
        <w:rPr>
          <w:rFonts w:ascii="Times New Roman" w:eastAsiaTheme="minorEastAsia" w:hAnsi="Times New Roman" w:cs="Times New Roman"/>
          <w:color w:val="auto"/>
          <w:sz w:val="24"/>
          <w:szCs w:val="24"/>
          <w:bdr w:val="none" w:sz="0" w:space="0" w:color="auto"/>
          <w:lang w:val="en-US" w:eastAsia="nl-NL"/>
        </w:rPr>
        <w:t>, sub question 1, t</w:t>
      </w:r>
      <w:r w:rsidR="001A711E" w:rsidRPr="003450F1">
        <w:rPr>
          <w:rFonts w:ascii="Times New Roman" w:eastAsiaTheme="minorEastAsia" w:hAnsi="Times New Roman" w:cs="Times New Roman"/>
          <w:color w:val="auto"/>
          <w:sz w:val="24"/>
          <w:szCs w:val="24"/>
          <w:bdr w:val="none" w:sz="0" w:space="0" w:color="auto"/>
          <w:lang w:val="en-US" w:eastAsia="nl-NL"/>
        </w:rPr>
        <w:t xml:space="preserve">he </w:t>
      </w:r>
      <w:r w:rsidR="001A711E" w:rsidRPr="003450F1">
        <w:rPr>
          <w:rFonts w:ascii="Times New Roman" w:eastAsiaTheme="minorEastAsia" w:hAnsi="Times New Roman" w:cs="Times New Roman"/>
          <w:i/>
          <w:color w:val="auto"/>
          <w:sz w:val="24"/>
          <w:szCs w:val="24"/>
          <w:bdr w:val="none" w:sz="0" w:space="0" w:color="auto"/>
          <w:lang w:val="en-US" w:eastAsia="nl-NL"/>
        </w:rPr>
        <w:t>Law of 30 May 2005</w:t>
      </w:r>
      <w:r w:rsidR="00851E44" w:rsidRPr="003450F1">
        <w:rPr>
          <w:rFonts w:ascii="Times New Roman" w:eastAsiaTheme="minorEastAsia" w:hAnsi="Times New Roman" w:cs="Times New Roman"/>
          <w:color w:val="auto"/>
          <w:sz w:val="24"/>
          <w:szCs w:val="24"/>
          <w:bdr w:val="none" w:sz="0" w:space="0" w:color="auto"/>
          <w:lang w:val="en-US" w:eastAsia="nl-NL"/>
        </w:rPr>
        <w:t xml:space="preserve"> implements the 2006 Data Retention Directive and</w:t>
      </w:r>
      <w:r w:rsidR="001A711E" w:rsidRPr="003450F1">
        <w:rPr>
          <w:rFonts w:ascii="Times New Roman" w:eastAsiaTheme="minorEastAsia" w:hAnsi="Times New Roman" w:cs="Times New Roman"/>
          <w:color w:val="auto"/>
          <w:sz w:val="24"/>
          <w:szCs w:val="24"/>
          <w:bdr w:val="none" w:sz="0" w:space="0" w:color="auto"/>
          <w:lang w:val="en-US" w:eastAsia="nl-NL"/>
        </w:rPr>
        <w:t xml:space="preserve"> applies </w:t>
      </w:r>
      <w:r w:rsidR="00851E44" w:rsidRPr="003450F1">
        <w:rPr>
          <w:rFonts w:ascii="Times New Roman" w:eastAsiaTheme="minorEastAsia" w:hAnsi="Times New Roman" w:cs="Times New Roman"/>
          <w:color w:val="auto"/>
          <w:sz w:val="24"/>
          <w:szCs w:val="24"/>
          <w:bdr w:val="none" w:sz="0" w:space="0" w:color="auto"/>
          <w:lang w:val="en-US" w:eastAsia="nl-NL"/>
        </w:rPr>
        <w:t xml:space="preserve">‘specifically </w:t>
      </w:r>
      <w:r w:rsidRPr="003450F1">
        <w:rPr>
          <w:rFonts w:ascii="Times New Roman" w:eastAsiaTheme="minorEastAsia" w:hAnsi="Times New Roman" w:cs="Times New Roman"/>
          <w:color w:val="auto"/>
          <w:sz w:val="24"/>
          <w:szCs w:val="24"/>
          <w:bdr w:val="none" w:sz="0" w:space="0" w:color="auto"/>
          <w:lang w:val="en-US" w:eastAsia="nl-NL"/>
        </w:rPr>
        <w:t xml:space="preserve">to </w:t>
      </w:r>
      <w:r w:rsidR="00851E44" w:rsidRPr="003450F1">
        <w:rPr>
          <w:rFonts w:ascii="Times New Roman" w:eastAsiaTheme="minorEastAsia" w:hAnsi="Times New Roman" w:cs="Times New Roman"/>
          <w:color w:val="auto"/>
          <w:sz w:val="24"/>
          <w:szCs w:val="24"/>
          <w:bdr w:val="none" w:sz="0" w:space="0" w:color="auto"/>
          <w:lang w:val="en-US" w:eastAsia="nl-NL"/>
        </w:rPr>
        <w:t xml:space="preserve">the processing of (…) personal data in the context of the supply of publicly available </w:t>
      </w:r>
      <w:r w:rsidRPr="003450F1">
        <w:rPr>
          <w:rFonts w:ascii="Times New Roman" w:eastAsiaTheme="minorEastAsia" w:hAnsi="Times New Roman" w:cs="Times New Roman"/>
          <w:color w:val="auto"/>
          <w:sz w:val="24"/>
          <w:szCs w:val="24"/>
          <w:bdr w:val="none" w:sz="0" w:space="0" w:color="auto"/>
          <w:lang w:val="en-US" w:eastAsia="nl-NL"/>
        </w:rPr>
        <w:t xml:space="preserve">electronic communications services </w:t>
      </w:r>
      <w:r w:rsidR="00851E44" w:rsidRPr="003450F1">
        <w:rPr>
          <w:rFonts w:ascii="Times New Roman" w:eastAsiaTheme="minorEastAsia" w:hAnsi="Times New Roman" w:cs="Times New Roman"/>
          <w:color w:val="auto"/>
          <w:sz w:val="24"/>
          <w:szCs w:val="24"/>
          <w:bdr w:val="none" w:sz="0" w:space="0" w:color="auto"/>
          <w:lang w:val="en-US" w:eastAsia="nl-NL"/>
        </w:rPr>
        <w:t>over the public communications networks.’</w:t>
      </w:r>
      <w:r w:rsidR="00851E44"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30"/>
      </w:r>
      <w:r w:rsidRPr="003450F1">
        <w:rPr>
          <w:rFonts w:ascii="Times New Roman" w:eastAsiaTheme="minorEastAsia" w:hAnsi="Times New Roman" w:cs="Times New Roman"/>
          <w:color w:val="auto"/>
          <w:sz w:val="24"/>
          <w:szCs w:val="24"/>
          <w:bdr w:val="none" w:sz="0" w:space="0" w:color="auto"/>
          <w:lang w:val="en-US" w:eastAsia="nl-NL"/>
        </w:rPr>
        <w:t xml:space="preserve"> </w:t>
      </w:r>
      <w:r w:rsidR="00851E44" w:rsidRPr="003450F1">
        <w:rPr>
          <w:rFonts w:ascii="Times New Roman" w:eastAsiaTheme="minorEastAsia" w:hAnsi="Times New Roman" w:cs="Times New Roman"/>
          <w:color w:val="auto"/>
          <w:sz w:val="24"/>
          <w:szCs w:val="24"/>
          <w:bdr w:val="none" w:sz="0" w:space="0" w:color="auto"/>
          <w:lang w:val="en-US" w:eastAsia="nl-NL"/>
        </w:rPr>
        <w:t xml:space="preserve">Information society services </w:t>
      </w:r>
      <w:r w:rsidR="00E8416E" w:rsidRPr="003450F1">
        <w:rPr>
          <w:rFonts w:ascii="Times New Roman" w:eastAsiaTheme="minorEastAsia" w:hAnsi="Times New Roman" w:cs="Times New Roman"/>
          <w:color w:val="auto"/>
          <w:sz w:val="24"/>
          <w:szCs w:val="24"/>
          <w:bdr w:val="none" w:sz="0" w:space="0" w:color="auto"/>
          <w:lang w:val="en-US" w:eastAsia="nl-NL"/>
        </w:rPr>
        <w:t xml:space="preserve">‘which do </w:t>
      </w:r>
      <w:r w:rsidR="00851E44" w:rsidRPr="003450F1">
        <w:rPr>
          <w:rFonts w:ascii="Times New Roman" w:eastAsiaTheme="minorEastAsia" w:hAnsi="Times New Roman" w:cs="Times New Roman"/>
          <w:color w:val="auto"/>
          <w:sz w:val="24"/>
          <w:szCs w:val="24"/>
          <w:bdr w:val="none" w:sz="0" w:space="0" w:color="auto"/>
          <w:lang w:val="en-US" w:eastAsia="nl-NL"/>
        </w:rPr>
        <w:t xml:space="preserve">are not </w:t>
      </w:r>
      <w:r w:rsidR="00E8416E" w:rsidRPr="003450F1">
        <w:rPr>
          <w:rFonts w:ascii="Times New Roman" w:eastAsiaTheme="minorEastAsia" w:hAnsi="Times New Roman" w:cs="Times New Roman"/>
          <w:color w:val="auto"/>
          <w:sz w:val="24"/>
          <w:szCs w:val="24"/>
          <w:bdr w:val="none" w:sz="0" w:space="0" w:color="auto"/>
          <w:lang w:val="en-US" w:eastAsia="nl-NL"/>
        </w:rPr>
        <w:t xml:space="preserve">consist wholly or mainly in the transmission of signals </w:t>
      </w:r>
      <w:r w:rsidR="006A3EF3" w:rsidRPr="003450F1">
        <w:rPr>
          <w:rFonts w:ascii="Times New Roman" w:eastAsiaTheme="minorEastAsia" w:hAnsi="Times New Roman" w:cs="Times New Roman"/>
          <w:color w:val="auto"/>
          <w:sz w:val="24"/>
          <w:szCs w:val="24"/>
          <w:bdr w:val="none" w:sz="0" w:space="0" w:color="auto"/>
          <w:lang w:val="en-US" w:eastAsia="nl-NL"/>
        </w:rPr>
        <w:t xml:space="preserve">by means of </w:t>
      </w:r>
      <w:r w:rsidR="00E8416E" w:rsidRPr="003450F1">
        <w:rPr>
          <w:rFonts w:ascii="Times New Roman" w:eastAsiaTheme="minorEastAsia" w:hAnsi="Times New Roman" w:cs="Times New Roman"/>
          <w:color w:val="auto"/>
          <w:sz w:val="24"/>
          <w:szCs w:val="24"/>
          <w:bdr w:val="none" w:sz="0" w:space="0" w:color="auto"/>
          <w:lang w:val="en-US" w:eastAsia="nl-NL"/>
        </w:rPr>
        <w:t xml:space="preserve">electronic communications networks’ are </w:t>
      </w:r>
      <w:r w:rsidR="00851E44" w:rsidRPr="003450F1">
        <w:rPr>
          <w:rFonts w:ascii="Times New Roman" w:eastAsiaTheme="minorEastAsia" w:hAnsi="Times New Roman" w:cs="Times New Roman"/>
          <w:color w:val="auto"/>
          <w:sz w:val="24"/>
          <w:szCs w:val="24"/>
          <w:bdr w:val="none" w:sz="0" w:space="0" w:color="auto"/>
          <w:lang w:val="en-US" w:eastAsia="nl-NL"/>
        </w:rPr>
        <w:t xml:space="preserve">excluded from the scope of application of this Law. In other words, the </w:t>
      </w:r>
      <w:r w:rsidR="009A3AE1" w:rsidRPr="003450F1">
        <w:rPr>
          <w:rFonts w:ascii="Times New Roman" w:eastAsiaTheme="minorEastAsia" w:hAnsi="Times New Roman" w:cs="Times New Roman"/>
          <w:color w:val="auto"/>
          <w:sz w:val="24"/>
          <w:szCs w:val="24"/>
          <w:bdr w:val="none" w:sz="0" w:space="0" w:color="auto"/>
          <w:lang w:val="en-US" w:eastAsia="nl-NL"/>
        </w:rPr>
        <w:t>data retention obligation</w:t>
      </w:r>
      <w:r w:rsidR="00851E44" w:rsidRPr="003450F1">
        <w:rPr>
          <w:rFonts w:ascii="Times New Roman" w:eastAsiaTheme="minorEastAsia" w:hAnsi="Times New Roman" w:cs="Times New Roman"/>
          <w:color w:val="auto"/>
          <w:sz w:val="24"/>
          <w:szCs w:val="24"/>
          <w:bdr w:val="none" w:sz="0" w:space="0" w:color="auto"/>
          <w:lang w:val="en-US" w:eastAsia="nl-NL"/>
        </w:rPr>
        <w:t>s imposed by the 2005 Law</w:t>
      </w:r>
      <w:r w:rsidR="009A3AE1" w:rsidRPr="003450F1">
        <w:rPr>
          <w:rFonts w:ascii="Times New Roman" w:eastAsiaTheme="minorEastAsia" w:hAnsi="Times New Roman" w:cs="Times New Roman"/>
          <w:color w:val="auto"/>
          <w:sz w:val="24"/>
          <w:szCs w:val="24"/>
          <w:bdr w:val="none" w:sz="0" w:space="0" w:color="auto"/>
          <w:lang w:val="en-US" w:eastAsia="nl-NL"/>
        </w:rPr>
        <w:t xml:space="preserve"> </w:t>
      </w:r>
      <w:r w:rsidR="00851E44" w:rsidRPr="003450F1">
        <w:rPr>
          <w:rFonts w:ascii="Times New Roman" w:eastAsiaTheme="minorEastAsia" w:hAnsi="Times New Roman" w:cs="Times New Roman"/>
          <w:color w:val="auto"/>
          <w:sz w:val="24"/>
          <w:szCs w:val="24"/>
          <w:bdr w:val="none" w:sz="0" w:space="0" w:color="auto"/>
          <w:lang w:val="en-US" w:eastAsia="nl-NL"/>
        </w:rPr>
        <w:t>only apply to service providers of electronic communications services</w:t>
      </w:r>
      <w:r w:rsidR="00E8416E" w:rsidRPr="003450F1">
        <w:rPr>
          <w:rFonts w:ascii="Times New Roman" w:eastAsiaTheme="minorEastAsia" w:hAnsi="Times New Roman" w:cs="Times New Roman"/>
          <w:color w:val="auto"/>
          <w:sz w:val="24"/>
          <w:szCs w:val="24"/>
          <w:bdr w:val="none" w:sz="0" w:space="0" w:color="auto"/>
          <w:lang w:val="en-US" w:eastAsia="nl-NL"/>
        </w:rPr>
        <w:t>, including IAPs</w:t>
      </w:r>
      <w:r w:rsidR="003937C6" w:rsidRPr="003450F1">
        <w:rPr>
          <w:rFonts w:ascii="Times New Roman" w:eastAsiaTheme="minorEastAsia" w:hAnsi="Times New Roman" w:cs="Times New Roman"/>
          <w:color w:val="auto"/>
          <w:sz w:val="24"/>
          <w:szCs w:val="24"/>
          <w:bdr w:val="none" w:sz="0" w:space="0" w:color="auto"/>
          <w:lang w:val="en-US" w:eastAsia="nl-NL"/>
        </w:rPr>
        <w:t xml:space="preserve"> and some ISPs, to the extent that they </w:t>
      </w:r>
      <w:r w:rsidR="00194CDF" w:rsidRPr="003450F1">
        <w:rPr>
          <w:rFonts w:ascii="Times New Roman" w:eastAsiaTheme="minorEastAsia" w:hAnsi="Times New Roman" w:cs="Times New Roman"/>
          <w:color w:val="auto"/>
          <w:sz w:val="24"/>
          <w:szCs w:val="24"/>
          <w:bdr w:val="none" w:sz="0" w:space="0" w:color="auto"/>
          <w:lang w:val="en-US" w:eastAsia="nl-NL"/>
        </w:rPr>
        <w:t xml:space="preserve">offer services which </w:t>
      </w:r>
      <w:r w:rsidR="003937C6" w:rsidRPr="003450F1">
        <w:rPr>
          <w:rFonts w:ascii="Times New Roman" w:eastAsiaTheme="minorEastAsia" w:hAnsi="Times New Roman" w:cs="Times New Roman"/>
          <w:color w:val="auto"/>
          <w:sz w:val="24"/>
          <w:szCs w:val="24"/>
          <w:bdr w:val="none" w:sz="0" w:space="0" w:color="auto"/>
          <w:lang w:val="en-US" w:eastAsia="nl-NL"/>
        </w:rPr>
        <w:t>consist entirely or mainly in the transmission of signals</w:t>
      </w:r>
      <w:r w:rsidR="00851E44" w:rsidRPr="003450F1">
        <w:rPr>
          <w:rFonts w:ascii="Times New Roman" w:eastAsiaTheme="minorEastAsia" w:hAnsi="Times New Roman" w:cs="Times New Roman"/>
          <w:color w:val="auto"/>
          <w:sz w:val="24"/>
          <w:szCs w:val="24"/>
          <w:bdr w:val="none" w:sz="0" w:space="0" w:color="auto"/>
          <w:lang w:val="en-US" w:eastAsia="nl-NL"/>
        </w:rPr>
        <w:t>.</w:t>
      </w:r>
      <w:r w:rsidR="00871E84">
        <w:rPr>
          <w:rFonts w:ascii="Times New Roman" w:eastAsiaTheme="minorEastAsia" w:hAnsi="Times New Roman" w:cs="Times New Roman"/>
          <w:color w:val="auto"/>
          <w:sz w:val="24"/>
          <w:szCs w:val="24"/>
          <w:bdr w:val="none" w:sz="0" w:space="0" w:color="auto"/>
          <w:lang w:val="en-US" w:eastAsia="nl-NL"/>
        </w:rPr>
        <w:t xml:space="preserve"> ISPs hosting content are, however, excluded.</w:t>
      </w:r>
    </w:p>
    <w:p w14:paraId="121162A5" w14:textId="0B9B5222" w:rsidR="00851E44" w:rsidRPr="003450F1" w:rsidRDefault="003937C6" w:rsidP="00851E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rPr>
      </w:pPr>
      <w:r w:rsidRPr="003450F1">
        <w:rPr>
          <w:bCs/>
        </w:rPr>
        <w:t xml:space="preserve">Interestingly, </w:t>
      </w:r>
      <w:r w:rsidR="00851E44" w:rsidRPr="003450F1">
        <w:rPr>
          <w:bCs/>
        </w:rPr>
        <w:t xml:space="preserve">certain authors argue that the data retention obligations imposed by this Law (which will be discussed in more detail </w:t>
      </w:r>
      <w:r w:rsidR="00851E44" w:rsidRPr="003450F1">
        <w:rPr>
          <w:bCs/>
          <w:i/>
        </w:rPr>
        <w:t>infra</w:t>
      </w:r>
      <w:r w:rsidR="00851E44" w:rsidRPr="003450F1">
        <w:rPr>
          <w:bCs/>
        </w:rPr>
        <w:t xml:space="preserve">) are also applicable to </w:t>
      </w:r>
      <w:r w:rsidR="00851E44" w:rsidRPr="003450F1">
        <w:rPr>
          <w:bCs/>
          <w:i/>
        </w:rPr>
        <w:t>intermediary service providers</w:t>
      </w:r>
      <w:r w:rsidR="00851E44" w:rsidRPr="003450F1">
        <w:rPr>
          <w:bCs/>
        </w:rPr>
        <w:t>, as defined by the Law of 14 August 2000 on electronic commerce (</w:t>
      </w:r>
      <w:r w:rsidR="00851E44" w:rsidRPr="003450F1">
        <w:rPr>
          <w:bCs/>
          <w:i/>
        </w:rPr>
        <w:t>supra</w:t>
      </w:r>
      <w:r w:rsidRPr="003450F1">
        <w:rPr>
          <w:bCs/>
        </w:rPr>
        <w:t>, sub question 1</w:t>
      </w:r>
      <w:r w:rsidR="00851E44" w:rsidRPr="003450F1">
        <w:rPr>
          <w:bCs/>
        </w:rPr>
        <w:t>).</w:t>
      </w:r>
      <w:r w:rsidR="00851E44" w:rsidRPr="003450F1">
        <w:rPr>
          <w:rStyle w:val="Odwoanieprzypisudolnego"/>
          <w:bCs/>
        </w:rPr>
        <w:footnoteReference w:id="31"/>
      </w:r>
      <w:r w:rsidR="00851E44" w:rsidRPr="003450F1">
        <w:rPr>
          <w:bCs/>
        </w:rPr>
        <w:t xml:space="preserve"> This would imply that providers of information society services would also be impacted by the data retention obligations of the Law of 30 May 2005.</w:t>
      </w:r>
      <w:r w:rsidR="00851E44" w:rsidRPr="003450F1">
        <w:rPr>
          <w:rStyle w:val="Odwoanieprzypisudolnego"/>
          <w:bCs/>
        </w:rPr>
        <w:footnoteReference w:id="32"/>
      </w:r>
      <w:r w:rsidR="00851E44" w:rsidRPr="003450F1">
        <w:rPr>
          <w:bCs/>
        </w:rPr>
        <w:t xml:space="preserve"> Such a broad understanding of the notion </w:t>
      </w:r>
      <w:r w:rsidR="00851E44" w:rsidRPr="003450F1">
        <w:rPr>
          <w:bCs/>
          <w:i/>
        </w:rPr>
        <w:t>service provider</w:t>
      </w:r>
      <w:r w:rsidR="00851E44" w:rsidRPr="003450F1">
        <w:rPr>
          <w:bCs/>
        </w:rPr>
        <w:t xml:space="preserve"> would probably be more in line with the definition used in the Budapest Convention,</w:t>
      </w:r>
      <w:r w:rsidR="00851E44" w:rsidRPr="003450F1">
        <w:rPr>
          <w:rStyle w:val="Odwoanieprzypisudolnego"/>
          <w:rFonts w:eastAsiaTheme="minorEastAsia"/>
          <w:bdr w:val="none" w:sz="0" w:space="0" w:color="auto"/>
          <w:lang w:eastAsia="nl-NL"/>
        </w:rPr>
        <w:footnoteReference w:id="33"/>
      </w:r>
      <w:r w:rsidR="00851E44" w:rsidRPr="003450F1">
        <w:rPr>
          <w:bCs/>
        </w:rPr>
        <w:t xml:space="preserve"> including: </w:t>
      </w:r>
    </w:p>
    <w:p w14:paraId="40020326" w14:textId="77777777" w:rsidR="00851E44" w:rsidRPr="003450F1" w:rsidRDefault="00851E44" w:rsidP="00851E44">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contextualSpacing w:val="0"/>
        <w:jc w:val="both"/>
        <w:rPr>
          <w:rFonts w:eastAsiaTheme="minorEastAsia"/>
          <w:bdr w:val="none" w:sz="0" w:space="0" w:color="auto"/>
          <w:lang w:eastAsia="nl-NL"/>
        </w:rPr>
      </w:pPr>
      <w:r w:rsidRPr="003450F1">
        <w:rPr>
          <w:rFonts w:eastAsiaTheme="minorEastAsia"/>
          <w:bdr w:val="none" w:sz="0" w:space="0" w:color="auto"/>
          <w:lang w:eastAsia="nl-NL"/>
        </w:rPr>
        <w:t>‘(</w:t>
      </w:r>
      <w:proofErr w:type="spellStart"/>
      <w:r w:rsidRPr="003450F1">
        <w:rPr>
          <w:rFonts w:eastAsiaTheme="minorEastAsia"/>
          <w:bdr w:val="none" w:sz="0" w:space="0" w:color="auto"/>
          <w:lang w:eastAsia="nl-NL"/>
        </w:rPr>
        <w:t>i</w:t>
      </w:r>
      <w:proofErr w:type="spellEnd"/>
      <w:r w:rsidRPr="003450F1">
        <w:rPr>
          <w:rFonts w:eastAsiaTheme="minorEastAsia"/>
          <w:bdr w:val="none" w:sz="0" w:space="0" w:color="auto"/>
          <w:lang w:eastAsia="nl-NL"/>
        </w:rPr>
        <w:t xml:space="preserve">) any public or private entity that provides to users of its service the ability to communicate by means of a computer system, and </w:t>
      </w:r>
    </w:p>
    <w:p w14:paraId="283F8CEB" w14:textId="77777777" w:rsidR="00851E44" w:rsidRPr="003450F1" w:rsidRDefault="00851E44" w:rsidP="00851E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(ii) any other entity that processes or stores computer data on behalf of such communication service or users of such service.’</w:t>
      </w:r>
    </w:p>
    <w:p w14:paraId="11361D23" w14:textId="381DFA7E" w:rsidR="00851E44" w:rsidRPr="003450F1" w:rsidRDefault="00851E44" w:rsidP="00851E4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871E84">
        <w:rPr>
          <w:rFonts w:eastAsiaTheme="minorEastAsia"/>
          <w:bdr w:val="none" w:sz="0" w:space="0" w:color="auto"/>
          <w:lang w:eastAsia="nl-NL"/>
        </w:rPr>
        <w:t xml:space="preserve">Unlike the Luxembourgish definition of service providers of electronic communications services which is based on the criterion of </w:t>
      </w:r>
      <w:r w:rsidRPr="00871E84">
        <w:rPr>
          <w:rFonts w:eastAsiaTheme="minorEastAsia"/>
          <w:i/>
          <w:bdr w:val="none" w:sz="0" w:space="0" w:color="auto"/>
          <w:lang w:eastAsia="nl-NL"/>
        </w:rPr>
        <w:t>transmission of signals</w:t>
      </w:r>
      <w:r w:rsidRPr="00871E84">
        <w:rPr>
          <w:rFonts w:eastAsiaTheme="minorEastAsia"/>
          <w:bdr w:val="none" w:sz="0" w:space="0" w:color="auto"/>
          <w:lang w:eastAsia="nl-NL"/>
        </w:rPr>
        <w:t>,</w:t>
      </w:r>
      <w:r w:rsidRPr="003450F1">
        <w:rPr>
          <w:rFonts w:eastAsiaTheme="minorEastAsia"/>
          <w:bdr w:val="none" w:sz="0" w:space="0" w:color="auto"/>
          <w:lang w:eastAsia="nl-NL"/>
        </w:rPr>
        <w:t xml:space="preserve"> the term </w:t>
      </w:r>
      <w:r w:rsidRPr="003450F1">
        <w:rPr>
          <w:rFonts w:eastAsiaTheme="minorEastAsia"/>
          <w:i/>
          <w:bdr w:val="none" w:sz="0" w:space="0" w:color="auto"/>
          <w:lang w:eastAsia="nl-NL"/>
        </w:rPr>
        <w:t>service provider</w:t>
      </w:r>
      <w:r w:rsidRPr="003450F1">
        <w:rPr>
          <w:rFonts w:eastAsiaTheme="minorEastAsia"/>
          <w:bdr w:val="none" w:sz="0" w:space="0" w:color="auto"/>
          <w:lang w:eastAsia="nl-NL"/>
        </w:rPr>
        <w:t xml:space="preserve"> under the Budapest Convention </w:t>
      </w:r>
      <w:r w:rsidR="00194CDF" w:rsidRPr="003450F1">
        <w:rPr>
          <w:rFonts w:eastAsiaTheme="minorEastAsia"/>
          <w:bdr w:val="none" w:sz="0" w:space="0" w:color="auto"/>
          <w:lang w:eastAsia="nl-NL"/>
        </w:rPr>
        <w:t xml:space="preserve">indeed </w:t>
      </w:r>
      <w:r w:rsidRPr="003450F1">
        <w:rPr>
          <w:rFonts w:eastAsiaTheme="minorEastAsia"/>
          <w:bdr w:val="none" w:sz="0" w:space="0" w:color="auto"/>
          <w:lang w:eastAsia="nl-NL"/>
        </w:rPr>
        <w:t xml:space="preserve">applies to any entity providing a service to communicate </w:t>
      </w:r>
      <w:r w:rsidRPr="003450F1">
        <w:rPr>
          <w:rFonts w:eastAsiaTheme="minorEastAsia"/>
          <w:i/>
          <w:bdr w:val="none" w:sz="0" w:space="0" w:color="auto"/>
          <w:lang w:eastAsia="nl-NL"/>
        </w:rPr>
        <w:t>by means of a computer system</w:t>
      </w:r>
      <w:r w:rsidRPr="003450F1">
        <w:rPr>
          <w:rFonts w:eastAsiaTheme="minorEastAsia"/>
          <w:bdr w:val="none" w:sz="0" w:space="0" w:color="auto"/>
          <w:lang w:eastAsia="nl-NL"/>
        </w:rPr>
        <w:t>, or to process or store data related to such communication.</w:t>
      </w:r>
      <w:r w:rsidR="003937C6" w:rsidRPr="003450F1">
        <w:rPr>
          <w:rFonts w:eastAsiaTheme="minorEastAsia"/>
          <w:bdr w:val="none" w:sz="0" w:space="0" w:color="auto"/>
          <w:lang w:eastAsia="nl-NL"/>
        </w:rPr>
        <w:t xml:space="preserve"> </w:t>
      </w:r>
      <w:r w:rsidRPr="003450F1">
        <w:rPr>
          <w:rFonts w:eastAsiaTheme="minorEastAsia"/>
          <w:bdr w:val="none" w:sz="0" w:space="0" w:color="auto"/>
          <w:lang w:eastAsia="nl-NL"/>
        </w:rPr>
        <w:t xml:space="preserve">Nevertheless, it is highly questionable whether the foregoing broad interpretation of </w:t>
      </w:r>
      <w:r w:rsidR="00194CDF" w:rsidRPr="003450F1">
        <w:rPr>
          <w:rFonts w:eastAsiaTheme="minorEastAsia"/>
          <w:bdr w:val="none" w:sz="0" w:space="0" w:color="auto"/>
          <w:lang w:eastAsia="nl-NL"/>
        </w:rPr>
        <w:t xml:space="preserve">the </w:t>
      </w:r>
      <w:r w:rsidRPr="003450F1">
        <w:rPr>
          <w:rFonts w:eastAsiaTheme="minorEastAsia"/>
          <w:bdr w:val="none" w:sz="0" w:space="0" w:color="auto"/>
          <w:lang w:eastAsia="nl-NL"/>
        </w:rPr>
        <w:t xml:space="preserve">service providers covered by the Law of 30 May 2005 will be accepted by the Luxembourgish courts, </w:t>
      </w:r>
      <w:r w:rsidR="003937C6" w:rsidRPr="003450F1">
        <w:rPr>
          <w:rFonts w:eastAsiaTheme="minorEastAsia"/>
          <w:bdr w:val="none" w:sz="0" w:space="0" w:color="auto"/>
          <w:lang w:eastAsia="nl-NL"/>
        </w:rPr>
        <w:t xml:space="preserve">considering the </w:t>
      </w:r>
      <w:r w:rsidR="00194CDF" w:rsidRPr="003450F1">
        <w:rPr>
          <w:rFonts w:eastAsiaTheme="minorEastAsia"/>
          <w:bdr w:val="none" w:sz="0" w:space="0" w:color="auto"/>
          <w:lang w:eastAsia="nl-NL"/>
        </w:rPr>
        <w:t xml:space="preserve">wording of Article 1 and </w:t>
      </w:r>
      <w:r w:rsidRPr="003450F1">
        <w:rPr>
          <w:rFonts w:eastAsiaTheme="minorEastAsia"/>
          <w:bdr w:val="none" w:sz="0" w:space="0" w:color="auto"/>
          <w:lang w:eastAsia="nl-NL"/>
        </w:rPr>
        <w:t>the definition</w:t>
      </w:r>
      <w:r w:rsidR="00194CDF" w:rsidRPr="003450F1">
        <w:rPr>
          <w:rFonts w:eastAsiaTheme="minorEastAsia"/>
          <w:bdr w:val="none" w:sz="0" w:space="0" w:color="auto"/>
          <w:lang w:eastAsia="nl-NL"/>
        </w:rPr>
        <w:t>s</w:t>
      </w:r>
      <w:r w:rsidRPr="003450F1">
        <w:rPr>
          <w:rFonts w:eastAsiaTheme="minorEastAsia"/>
          <w:bdr w:val="none" w:sz="0" w:space="0" w:color="auto"/>
          <w:lang w:eastAsia="nl-NL"/>
        </w:rPr>
        <w:t xml:space="preserve"> laid do</w:t>
      </w:r>
      <w:r w:rsidR="00656867">
        <w:rPr>
          <w:rFonts w:eastAsiaTheme="minorEastAsia"/>
          <w:bdr w:val="none" w:sz="0" w:space="0" w:color="auto"/>
          <w:lang w:eastAsia="nl-NL"/>
        </w:rPr>
        <w:t>wn in Article 2 (k) of that Law</w:t>
      </w:r>
      <w:r w:rsidR="00656867" w:rsidRPr="00871E84">
        <w:rPr>
          <w:rFonts w:eastAsiaTheme="minorEastAsia"/>
          <w:bdr w:val="none" w:sz="0" w:space="0" w:color="auto"/>
          <w:lang w:eastAsia="nl-NL"/>
        </w:rPr>
        <w:t xml:space="preserve">, </w:t>
      </w:r>
      <w:r w:rsidR="00885E89" w:rsidRPr="00871E84">
        <w:rPr>
          <w:rFonts w:eastAsiaTheme="minorEastAsia"/>
          <w:bdr w:val="none" w:sz="0" w:space="0" w:color="auto"/>
          <w:lang w:eastAsia="nl-NL"/>
        </w:rPr>
        <w:t xml:space="preserve">which </w:t>
      </w:r>
      <w:r w:rsidR="004520CB" w:rsidRPr="00871E84">
        <w:rPr>
          <w:rFonts w:eastAsiaTheme="minorEastAsia"/>
          <w:bdr w:val="none" w:sz="0" w:space="0" w:color="auto"/>
          <w:lang w:eastAsia="nl-NL"/>
        </w:rPr>
        <w:t>m</w:t>
      </w:r>
      <w:r w:rsidR="00885E89" w:rsidRPr="00871E84">
        <w:rPr>
          <w:rFonts w:eastAsiaTheme="minorEastAsia"/>
          <w:bdr w:val="none" w:sz="0" w:space="0" w:color="auto"/>
          <w:lang w:eastAsia="nl-NL"/>
        </w:rPr>
        <w:t>irror</w:t>
      </w:r>
      <w:r w:rsidR="00656867" w:rsidRPr="00871E84">
        <w:rPr>
          <w:rFonts w:eastAsiaTheme="minorEastAsia"/>
          <w:bdr w:val="none" w:sz="0" w:space="0" w:color="auto"/>
          <w:lang w:eastAsia="nl-NL"/>
        </w:rPr>
        <w:t xml:space="preserve"> the existing EU legal framework</w:t>
      </w:r>
      <w:r w:rsidR="00656867">
        <w:rPr>
          <w:rFonts w:eastAsiaTheme="minorEastAsia"/>
          <w:bdr w:val="none" w:sz="0" w:space="0" w:color="auto"/>
          <w:lang w:eastAsia="nl-NL"/>
        </w:rPr>
        <w:t>.</w:t>
      </w:r>
    </w:p>
    <w:p w14:paraId="6001FCE9" w14:textId="5DDE78FA" w:rsidR="001A711E" w:rsidRPr="003450F1" w:rsidRDefault="00194CDF"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Furthermore, it is noteworthy that t</w:t>
      </w:r>
      <w:r w:rsidR="009A3AE1" w:rsidRPr="003450F1">
        <w:rPr>
          <w:rFonts w:ascii="Times New Roman" w:eastAsiaTheme="minorEastAsia" w:hAnsi="Times New Roman" w:cs="Times New Roman"/>
          <w:color w:val="auto"/>
          <w:sz w:val="24"/>
          <w:szCs w:val="24"/>
          <w:bdr w:val="none" w:sz="0" w:space="0" w:color="auto"/>
          <w:lang w:val="en-US" w:eastAsia="nl-NL"/>
        </w:rPr>
        <w:t>he 2005</w:t>
      </w:r>
      <w:r w:rsidR="001A711E" w:rsidRPr="003450F1">
        <w:rPr>
          <w:rFonts w:ascii="Times New Roman" w:eastAsiaTheme="minorEastAsia" w:hAnsi="Times New Roman" w:cs="Times New Roman"/>
          <w:color w:val="auto"/>
          <w:sz w:val="24"/>
          <w:szCs w:val="24"/>
          <w:bdr w:val="none" w:sz="0" w:space="0" w:color="auto"/>
          <w:lang w:val="en-US" w:eastAsia="nl-NL"/>
        </w:rPr>
        <w:t xml:space="preserve"> Law will be amended in the near future, as described </w:t>
      </w:r>
      <w:r w:rsidR="001A711E" w:rsidRPr="003450F1">
        <w:rPr>
          <w:rFonts w:ascii="Times New Roman" w:eastAsiaTheme="minorEastAsia" w:hAnsi="Times New Roman" w:cs="Times New Roman"/>
          <w:i/>
          <w:color w:val="auto"/>
          <w:sz w:val="24"/>
          <w:szCs w:val="24"/>
          <w:bdr w:val="none" w:sz="0" w:space="0" w:color="auto"/>
          <w:lang w:val="en-US" w:eastAsia="nl-NL"/>
        </w:rPr>
        <w:t>infra</w:t>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D731A4" w:rsidRPr="003450F1">
        <w:rPr>
          <w:rFonts w:ascii="Times New Roman" w:eastAsiaTheme="minorEastAsia" w:hAnsi="Times New Roman" w:cs="Times New Roman"/>
          <w:color w:val="auto"/>
          <w:sz w:val="24"/>
          <w:szCs w:val="24"/>
          <w:bdr w:val="none" w:sz="0" w:space="0" w:color="auto"/>
          <w:lang w:val="en-US" w:eastAsia="nl-NL"/>
        </w:rPr>
        <w:t>sub</w:t>
      </w:r>
      <w:r w:rsidR="004E0676" w:rsidRPr="003450F1">
        <w:rPr>
          <w:rFonts w:ascii="Times New Roman" w:eastAsiaTheme="minorEastAsia" w:hAnsi="Times New Roman" w:cs="Times New Roman"/>
          <w:color w:val="auto"/>
          <w:sz w:val="24"/>
          <w:szCs w:val="24"/>
          <w:bdr w:val="none" w:sz="0" w:space="0" w:color="auto"/>
          <w:lang w:val="en-US" w:eastAsia="nl-NL"/>
        </w:rPr>
        <w:t xml:space="preserve"> question 12, in order to meet the requirements of the CJEU in </w:t>
      </w:r>
      <w:r w:rsidR="004E0676" w:rsidRPr="003450F1">
        <w:rPr>
          <w:rFonts w:ascii="Times New Roman" w:eastAsiaTheme="minorEastAsia" w:hAnsi="Times New Roman" w:cs="Times New Roman"/>
          <w:i/>
          <w:color w:val="auto"/>
          <w:sz w:val="24"/>
          <w:szCs w:val="24"/>
          <w:bdr w:val="none" w:sz="0" w:space="0" w:color="auto"/>
          <w:lang w:val="en-US" w:eastAsia="nl-NL"/>
        </w:rPr>
        <w:t>Digital Rights Ireland Ltd</w:t>
      </w:r>
      <w:r w:rsidR="004E0676" w:rsidRPr="003450F1">
        <w:rPr>
          <w:rFonts w:ascii="Times New Roman" w:eastAsiaTheme="minorEastAsia" w:hAnsi="Times New Roman" w:cs="Times New Roman"/>
          <w:color w:val="auto"/>
          <w:sz w:val="24"/>
          <w:szCs w:val="24"/>
          <w:bdr w:val="none" w:sz="0" w:space="0" w:color="auto"/>
          <w:lang w:val="en-US" w:eastAsia="nl-NL"/>
        </w:rPr>
        <w:t>.</w:t>
      </w:r>
      <w:r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34"/>
      </w:r>
    </w:p>
    <w:p w14:paraId="4345B721" w14:textId="77777777" w:rsidR="008B409C" w:rsidRPr="003450F1" w:rsidRDefault="008B409C"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p>
    <w:p w14:paraId="648F3F7C" w14:textId="2EF2E78A" w:rsidR="008B409C" w:rsidRPr="003450F1" w:rsidRDefault="00BC49F7" w:rsidP="001A711E">
      <w:pPr>
        <w:pStyle w:val="Hoofdtekst"/>
        <w:spacing w:after="120"/>
        <w:jc w:val="both"/>
        <w:rPr>
          <w:rFonts w:ascii="Times New Roman" w:eastAsiaTheme="minorEastAsia" w:hAnsi="Times New Roman" w:cs="Times New Roman"/>
          <w:b/>
          <w:color w:val="auto"/>
          <w:sz w:val="24"/>
          <w:szCs w:val="24"/>
          <w:bdr w:val="none" w:sz="0" w:space="0" w:color="auto"/>
          <w:lang w:val="en-US" w:eastAsia="nl-NL"/>
        </w:rPr>
      </w:pPr>
      <w:r w:rsidRPr="003450F1">
        <w:rPr>
          <w:rFonts w:ascii="Times New Roman" w:eastAsiaTheme="minorEastAsia" w:hAnsi="Times New Roman" w:cs="Times New Roman"/>
          <w:b/>
          <w:color w:val="auto"/>
          <w:sz w:val="24"/>
          <w:szCs w:val="24"/>
          <w:bdr w:val="none" w:sz="0" w:space="0" w:color="auto"/>
          <w:lang w:val="en-US" w:eastAsia="nl-NL"/>
        </w:rPr>
        <w:t>Data retention obligations</w:t>
      </w:r>
    </w:p>
    <w:p w14:paraId="47505EF2" w14:textId="4F652C05" w:rsidR="001A711E" w:rsidRPr="003450F1" w:rsidRDefault="008B409C"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Turning to the contents of the Law of 30 May 2005, </w:t>
      </w:r>
      <w:r w:rsidR="00BC49F7" w:rsidRPr="003450F1">
        <w:rPr>
          <w:rFonts w:ascii="Times New Roman" w:eastAsiaTheme="minorEastAsia" w:hAnsi="Times New Roman" w:cs="Times New Roman"/>
          <w:color w:val="auto"/>
          <w:sz w:val="24"/>
          <w:szCs w:val="24"/>
          <w:bdr w:val="none" w:sz="0" w:space="0" w:color="auto"/>
          <w:lang w:val="en-US" w:eastAsia="nl-NL"/>
        </w:rPr>
        <w:t xml:space="preserve">one should distinguish between </w:t>
      </w:r>
      <w:r w:rsidR="004E0676" w:rsidRPr="003450F1">
        <w:rPr>
          <w:rFonts w:ascii="Times New Roman" w:eastAsiaTheme="minorEastAsia" w:hAnsi="Times New Roman" w:cs="Times New Roman"/>
          <w:color w:val="auto"/>
          <w:sz w:val="24"/>
          <w:szCs w:val="24"/>
          <w:bdr w:val="none" w:sz="0" w:space="0" w:color="auto"/>
          <w:lang w:val="en-US" w:eastAsia="nl-NL"/>
        </w:rPr>
        <w:t xml:space="preserve">the obligation to retain </w:t>
      </w:r>
      <w:r w:rsidR="001A711E" w:rsidRPr="003450F1">
        <w:rPr>
          <w:rFonts w:ascii="Times New Roman" w:eastAsiaTheme="minorEastAsia" w:hAnsi="Times New Roman" w:cs="Times New Roman"/>
          <w:i/>
          <w:color w:val="auto"/>
          <w:sz w:val="24"/>
          <w:szCs w:val="24"/>
          <w:bdr w:val="none" w:sz="0" w:space="0" w:color="auto"/>
          <w:lang w:val="en-US" w:eastAsia="nl-NL"/>
        </w:rPr>
        <w:t>traffic data</w:t>
      </w:r>
      <w:r w:rsidR="00BC49F7" w:rsidRPr="003450F1">
        <w:rPr>
          <w:rFonts w:ascii="Times New Roman" w:eastAsiaTheme="minorEastAsia" w:hAnsi="Times New Roman" w:cs="Times New Roman"/>
          <w:color w:val="auto"/>
          <w:sz w:val="24"/>
          <w:szCs w:val="24"/>
          <w:bdr w:val="none" w:sz="0" w:space="0" w:color="auto"/>
          <w:lang w:val="en-US" w:eastAsia="nl-NL"/>
        </w:rPr>
        <w:t>,</w:t>
      </w:r>
      <w:r w:rsidR="001A711E"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35"/>
      </w:r>
      <w:r w:rsidR="00BC49F7" w:rsidRPr="003450F1">
        <w:rPr>
          <w:rFonts w:ascii="Times New Roman" w:eastAsiaTheme="minorEastAsia" w:hAnsi="Times New Roman" w:cs="Times New Roman"/>
          <w:color w:val="auto"/>
          <w:sz w:val="24"/>
          <w:szCs w:val="24"/>
          <w:bdr w:val="none" w:sz="0" w:space="0" w:color="auto"/>
          <w:lang w:val="en-US" w:eastAsia="nl-NL"/>
        </w:rPr>
        <w:t xml:space="preserve"> regulated by Article 5 of the 2005 Law, and </w:t>
      </w:r>
      <w:r w:rsidR="004E0676" w:rsidRPr="003450F1">
        <w:rPr>
          <w:rFonts w:ascii="Times New Roman" w:eastAsiaTheme="minorEastAsia" w:hAnsi="Times New Roman" w:cs="Times New Roman"/>
          <w:color w:val="auto"/>
          <w:sz w:val="24"/>
          <w:szCs w:val="24"/>
          <w:bdr w:val="none" w:sz="0" w:space="0" w:color="auto"/>
          <w:lang w:val="en-US" w:eastAsia="nl-NL"/>
        </w:rPr>
        <w:t xml:space="preserve">the retention of </w:t>
      </w:r>
      <w:r w:rsidR="008A05B4" w:rsidRPr="003450F1">
        <w:rPr>
          <w:rFonts w:ascii="Times New Roman" w:eastAsiaTheme="minorEastAsia" w:hAnsi="Times New Roman" w:cs="Times New Roman"/>
          <w:i/>
          <w:color w:val="auto"/>
          <w:sz w:val="24"/>
          <w:szCs w:val="24"/>
          <w:bdr w:val="none" w:sz="0" w:space="0" w:color="auto"/>
          <w:lang w:val="en-US" w:eastAsia="nl-NL"/>
        </w:rPr>
        <w:t xml:space="preserve">location </w:t>
      </w:r>
      <w:r w:rsidR="001A711E" w:rsidRPr="003450F1">
        <w:rPr>
          <w:rFonts w:ascii="Times New Roman" w:eastAsiaTheme="minorEastAsia" w:hAnsi="Times New Roman" w:cs="Times New Roman"/>
          <w:i/>
          <w:color w:val="auto"/>
          <w:sz w:val="24"/>
          <w:szCs w:val="24"/>
          <w:bdr w:val="none" w:sz="0" w:space="0" w:color="auto"/>
          <w:lang w:val="en-US" w:eastAsia="nl-NL"/>
        </w:rPr>
        <w:t>data other than traffic data</w:t>
      </w:r>
      <w:r w:rsidR="00BC49F7" w:rsidRPr="003450F1">
        <w:rPr>
          <w:rFonts w:ascii="Times New Roman" w:eastAsiaTheme="minorEastAsia" w:hAnsi="Times New Roman" w:cs="Times New Roman"/>
          <w:color w:val="auto"/>
          <w:sz w:val="24"/>
          <w:szCs w:val="24"/>
          <w:bdr w:val="none" w:sz="0" w:space="0" w:color="auto"/>
          <w:lang w:val="en-US" w:eastAsia="nl-NL"/>
        </w:rPr>
        <w:t>,</w:t>
      </w:r>
      <w:r w:rsidR="001A711E"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36"/>
      </w:r>
      <w:r w:rsidR="00BC49F7" w:rsidRPr="003450F1">
        <w:rPr>
          <w:rFonts w:ascii="Times New Roman" w:eastAsiaTheme="minorEastAsia" w:hAnsi="Times New Roman" w:cs="Times New Roman"/>
          <w:color w:val="auto"/>
          <w:sz w:val="24"/>
          <w:szCs w:val="24"/>
          <w:bdr w:val="none" w:sz="0" w:space="0" w:color="auto"/>
          <w:lang w:val="en-US" w:eastAsia="nl-NL"/>
        </w:rPr>
        <w:t xml:space="preserve"> regulated by Article 9.</w:t>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4E0676" w:rsidRPr="003450F1">
        <w:rPr>
          <w:rFonts w:ascii="Times New Roman" w:eastAsiaTheme="minorEastAsia" w:hAnsi="Times New Roman" w:cs="Times New Roman"/>
          <w:color w:val="auto"/>
          <w:sz w:val="24"/>
          <w:szCs w:val="24"/>
          <w:bdr w:val="none" w:sz="0" w:space="0" w:color="auto"/>
          <w:lang w:val="en-US" w:eastAsia="nl-NL"/>
        </w:rPr>
        <w:t xml:space="preserve">Apart from their different scope of application </w:t>
      </w:r>
      <w:proofErr w:type="spellStart"/>
      <w:r w:rsidR="004E0676" w:rsidRPr="003450F1">
        <w:rPr>
          <w:rFonts w:ascii="Times New Roman" w:eastAsiaTheme="minorEastAsia" w:hAnsi="Times New Roman" w:cs="Times New Roman"/>
          <w:i/>
          <w:color w:val="auto"/>
          <w:sz w:val="24"/>
          <w:szCs w:val="24"/>
          <w:bdr w:val="none" w:sz="0" w:space="0" w:color="auto"/>
          <w:lang w:val="en-US" w:eastAsia="nl-NL"/>
        </w:rPr>
        <w:t>ratione</w:t>
      </w:r>
      <w:proofErr w:type="spellEnd"/>
      <w:r w:rsidR="004E0676" w:rsidRPr="003450F1">
        <w:rPr>
          <w:rFonts w:ascii="Times New Roman" w:eastAsiaTheme="minorEastAsia" w:hAnsi="Times New Roman" w:cs="Times New Roman"/>
          <w:i/>
          <w:color w:val="auto"/>
          <w:sz w:val="24"/>
          <w:szCs w:val="24"/>
          <w:bdr w:val="none" w:sz="0" w:space="0" w:color="auto"/>
          <w:lang w:val="en-US" w:eastAsia="nl-NL"/>
        </w:rPr>
        <w:t xml:space="preserve"> </w:t>
      </w:r>
      <w:proofErr w:type="spellStart"/>
      <w:r w:rsidR="004E0676" w:rsidRPr="003450F1">
        <w:rPr>
          <w:rFonts w:ascii="Times New Roman" w:eastAsiaTheme="minorEastAsia" w:hAnsi="Times New Roman" w:cs="Times New Roman"/>
          <w:i/>
          <w:color w:val="auto"/>
          <w:sz w:val="24"/>
          <w:szCs w:val="24"/>
          <w:bdr w:val="none" w:sz="0" w:space="0" w:color="auto"/>
          <w:lang w:val="en-US" w:eastAsia="nl-NL"/>
        </w:rPr>
        <w:t>materiae</w:t>
      </w:r>
      <w:proofErr w:type="spellEnd"/>
      <w:r w:rsidR="004E0676" w:rsidRPr="003450F1">
        <w:rPr>
          <w:rFonts w:ascii="Times New Roman" w:eastAsiaTheme="minorEastAsia" w:hAnsi="Times New Roman" w:cs="Times New Roman"/>
          <w:color w:val="auto"/>
          <w:sz w:val="24"/>
          <w:szCs w:val="24"/>
          <w:bdr w:val="none" w:sz="0" w:space="0" w:color="auto"/>
          <w:lang w:val="en-US" w:eastAsia="nl-NL"/>
        </w:rPr>
        <w:t xml:space="preserve">, these provisions are drafted in a </w:t>
      </w:r>
      <w:r w:rsidR="00114F2A" w:rsidRPr="003450F1">
        <w:rPr>
          <w:rFonts w:ascii="Times New Roman" w:eastAsiaTheme="minorEastAsia" w:hAnsi="Times New Roman" w:cs="Times New Roman"/>
          <w:color w:val="auto"/>
          <w:sz w:val="24"/>
          <w:szCs w:val="24"/>
          <w:bdr w:val="none" w:sz="0" w:space="0" w:color="auto"/>
          <w:lang w:val="en-US" w:eastAsia="nl-NL"/>
        </w:rPr>
        <w:t>fairly</w:t>
      </w:r>
      <w:r w:rsidR="004E0676" w:rsidRPr="003450F1">
        <w:rPr>
          <w:rFonts w:ascii="Times New Roman" w:eastAsiaTheme="minorEastAsia" w:hAnsi="Times New Roman" w:cs="Times New Roman"/>
          <w:color w:val="auto"/>
          <w:sz w:val="24"/>
          <w:szCs w:val="24"/>
          <w:bdr w:val="none" w:sz="0" w:space="0" w:color="auto"/>
          <w:lang w:val="en-US" w:eastAsia="nl-NL"/>
        </w:rPr>
        <w:t xml:space="preserve"> similar way. </w:t>
      </w:r>
      <w:r w:rsidR="00FE36ED" w:rsidRPr="003450F1">
        <w:rPr>
          <w:rFonts w:ascii="Times New Roman" w:eastAsiaTheme="minorEastAsia" w:hAnsi="Times New Roman" w:cs="Times New Roman"/>
          <w:color w:val="auto"/>
          <w:sz w:val="24"/>
          <w:szCs w:val="24"/>
          <w:bdr w:val="none" w:sz="0" w:space="0" w:color="auto"/>
          <w:lang w:val="en-US" w:eastAsia="nl-NL"/>
        </w:rPr>
        <w:t>Briefly summarized, t</w:t>
      </w:r>
      <w:r w:rsidR="004E0676" w:rsidRPr="003450F1">
        <w:rPr>
          <w:rFonts w:ascii="Times New Roman" w:eastAsiaTheme="minorEastAsia" w:hAnsi="Times New Roman" w:cs="Times New Roman"/>
          <w:color w:val="auto"/>
          <w:sz w:val="24"/>
          <w:szCs w:val="24"/>
          <w:bdr w:val="none" w:sz="0" w:space="0" w:color="auto"/>
          <w:lang w:val="en-US" w:eastAsia="nl-NL"/>
        </w:rPr>
        <w:t xml:space="preserve">hey </w:t>
      </w:r>
      <w:r w:rsidR="001A711E" w:rsidRPr="003450F1">
        <w:rPr>
          <w:rFonts w:ascii="Times New Roman" w:eastAsiaTheme="minorEastAsia" w:hAnsi="Times New Roman" w:cs="Times New Roman"/>
          <w:color w:val="auto"/>
          <w:sz w:val="24"/>
          <w:szCs w:val="24"/>
          <w:bdr w:val="none" w:sz="0" w:space="0" w:color="auto"/>
          <w:lang w:val="en-US" w:eastAsia="nl-NL"/>
        </w:rPr>
        <w:t xml:space="preserve">provide that service providers and operators processing traffic </w:t>
      </w:r>
      <w:r w:rsidR="00FE36ED" w:rsidRPr="003450F1">
        <w:rPr>
          <w:rFonts w:ascii="Times New Roman" w:eastAsiaTheme="minorEastAsia" w:hAnsi="Times New Roman" w:cs="Times New Roman"/>
          <w:color w:val="auto"/>
          <w:sz w:val="24"/>
          <w:szCs w:val="24"/>
          <w:bdr w:val="none" w:sz="0" w:space="0" w:color="auto"/>
          <w:lang w:val="en-US" w:eastAsia="nl-NL"/>
        </w:rPr>
        <w:t xml:space="preserve">and/or location </w:t>
      </w:r>
      <w:r w:rsidR="001A711E" w:rsidRPr="003450F1">
        <w:rPr>
          <w:rFonts w:ascii="Times New Roman" w:eastAsiaTheme="minorEastAsia" w:hAnsi="Times New Roman" w:cs="Times New Roman"/>
          <w:color w:val="auto"/>
          <w:sz w:val="24"/>
          <w:szCs w:val="24"/>
          <w:bdr w:val="none" w:sz="0" w:space="0" w:color="auto"/>
          <w:lang w:val="en-US" w:eastAsia="nl-NL"/>
        </w:rPr>
        <w:t xml:space="preserve">data should retain the data for a period of 6 months </w:t>
      </w:r>
      <w:r w:rsidR="00B50F0F" w:rsidRPr="003450F1">
        <w:rPr>
          <w:rFonts w:ascii="Times New Roman" w:hAnsi="Times New Roman" w:cs="Times New Roman"/>
          <w:sz w:val="24"/>
          <w:szCs w:val="24"/>
          <w:lang w:val="en-US"/>
        </w:rPr>
        <w:t>(previously 12 months)</w:t>
      </w:r>
      <w:r w:rsidR="00B50F0F" w:rsidRPr="003450F1">
        <w:rPr>
          <w:rFonts w:cs="Arial"/>
          <w:lang w:val="en-US"/>
        </w:rPr>
        <w:t xml:space="preserve"> </w:t>
      </w:r>
      <w:r w:rsidR="00FE36ED" w:rsidRPr="003450F1">
        <w:rPr>
          <w:rFonts w:ascii="Times New Roman" w:eastAsiaTheme="minorEastAsia" w:hAnsi="Times New Roman" w:cs="Times New Roman"/>
          <w:color w:val="auto"/>
          <w:sz w:val="24"/>
          <w:szCs w:val="24"/>
          <w:bdr w:val="none" w:sz="0" w:space="0" w:color="auto"/>
          <w:lang w:val="en-US" w:eastAsia="nl-NL"/>
        </w:rPr>
        <w:t>for the purpose</w:t>
      </w:r>
      <w:r w:rsidR="001A711E" w:rsidRPr="003450F1">
        <w:rPr>
          <w:rFonts w:ascii="Times New Roman" w:eastAsiaTheme="minorEastAsia" w:hAnsi="Times New Roman" w:cs="Times New Roman"/>
          <w:color w:val="auto"/>
          <w:sz w:val="24"/>
          <w:szCs w:val="24"/>
          <w:bdr w:val="none" w:sz="0" w:space="0" w:color="auto"/>
          <w:lang w:val="en-US" w:eastAsia="nl-NL"/>
        </w:rPr>
        <w:t xml:space="preserve"> of </w:t>
      </w:r>
      <w:r w:rsidR="00FE36ED" w:rsidRPr="003450F1">
        <w:rPr>
          <w:rFonts w:ascii="Times New Roman" w:eastAsiaTheme="minorEastAsia" w:hAnsi="Times New Roman" w:cs="Times New Roman"/>
          <w:color w:val="auto"/>
          <w:sz w:val="24"/>
          <w:szCs w:val="24"/>
          <w:bdr w:val="none" w:sz="0" w:space="0" w:color="auto"/>
          <w:lang w:val="en-US" w:eastAsia="nl-NL"/>
        </w:rPr>
        <w:t xml:space="preserve">the </w:t>
      </w:r>
      <w:r w:rsidR="004E0676" w:rsidRPr="003450F1">
        <w:rPr>
          <w:rFonts w:ascii="Times New Roman" w:eastAsiaTheme="minorEastAsia" w:hAnsi="Times New Roman" w:cs="Times New Roman"/>
          <w:color w:val="auto"/>
          <w:sz w:val="24"/>
          <w:szCs w:val="24"/>
          <w:bdr w:val="none" w:sz="0" w:space="0" w:color="auto"/>
          <w:lang w:val="en-US" w:eastAsia="nl-NL"/>
        </w:rPr>
        <w:t>investigation</w:t>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4E0676" w:rsidRPr="003450F1">
        <w:rPr>
          <w:rFonts w:ascii="Times New Roman" w:eastAsiaTheme="minorEastAsia" w:hAnsi="Times New Roman" w:cs="Times New Roman"/>
          <w:color w:val="auto"/>
          <w:sz w:val="24"/>
          <w:szCs w:val="24"/>
          <w:bdr w:val="none" w:sz="0" w:space="0" w:color="auto"/>
          <w:lang w:val="en-US" w:eastAsia="nl-NL"/>
        </w:rPr>
        <w:t>detection</w:t>
      </w:r>
      <w:r w:rsidR="001A711E" w:rsidRPr="003450F1">
        <w:rPr>
          <w:rFonts w:ascii="Times New Roman" w:eastAsiaTheme="minorEastAsia" w:hAnsi="Times New Roman" w:cs="Times New Roman"/>
          <w:color w:val="auto"/>
          <w:sz w:val="24"/>
          <w:szCs w:val="24"/>
          <w:bdr w:val="none" w:sz="0" w:space="0" w:color="auto"/>
          <w:lang w:val="en-US" w:eastAsia="nl-NL"/>
        </w:rPr>
        <w:t xml:space="preserve"> and prosecution of </w:t>
      </w:r>
      <w:r w:rsidR="008C10AE" w:rsidRPr="003450F1">
        <w:rPr>
          <w:rFonts w:ascii="Times New Roman" w:eastAsiaTheme="minorEastAsia" w:hAnsi="Times New Roman" w:cs="Times New Roman"/>
          <w:color w:val="auto"/>
          <w:sz w:val="24"/>
          <w:szCs w:val="24"/>
          <w:bdr w:val="none" w:sz="0" w:space="0" w:color="auto"/>
          <w:lang w:val="en-US" w:eastAsia="nl-NL"/>
        </w:rPr>
        <w:t xml:space="preserve">serious </w:t>
      </w:r>
      <w:r w:rsidR="001A711E" w:rsidRPr="003450F1">
        <w:rPr>
          <w:rFonts w:ascii="Times New Roman" w:eastAsiaTheme="minorEastAsia" w:hAnsi="Times New Roman" w:cs="Times New Roman"/>
          <w:color w:val="auto"/>
          <w:sz w:val="24"/>
          <w:szCs w:val="24"/>
          <w:bdr w:val="none" w:sz="0" w:space="0" w:color="auto"/>
          <w:lang w:val="en-US" w:eastAsia="nl-NL"/>
        </w:rPr>
        <w:t xml:space="preserve">criminal </w:t>
      </w:r>
      <w:r w:rsidR="004E0676" w:rsidRPr="003450F1">
        <w:rPr>
          <w:rFonts w:ascii="Times New Roman" w:eastAsiaTheme="minorEastAsia" w:hAnsi="Times New Roman" w:cs="Times New Roman"/>
          <w:color w:val="auto"/>
          <w:sz w:val="24"/>
          <w:szCs w:val="24"/>
          <w:bdr w:val="none" w:sz="0" w:space="0" w:color="auto"/>
          <w:lang w:val="en-US" w:eastAsia="nl-NL"/>
        </w:rPr>
        <w:t>offences</w:t>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FE36ED" w:rsidRPr="003450F1">
        <w:rPr>
          <w:rFonts w:ascii="Times New Roman" w:eastAsiaTheme="minorEastAsia" w:hAnsi="Times New Roman" w:cs="Times New Roman"/>
          <w:color w:val="auto"/>
          <w:sz w:val="24"/>
          <w:szCs w:val="24"/>
          <w:bdr w:val="none" w:sz="0" w:space="0" w:color="auto"/>
          <w:lang w:val="en-US" w:eastAsia="nl-NL"/>
        </w:rPr>
        <w:t xml:space="preserve">in case </w:t>
      </w:r>
      <w:r w:rsidR="001A711E" w:rsidRPr="003450F1">
        <w:rPr>
          <w:rFonts w:ascii="Times New Roman" w:eastAsiaTheme="minorEastAsia" w:hAnsi="Times New Roman" w:cs="Times New Roman"/>
          <w:color w:val="auto"/>
          <w:sz w:val="24"/>
          <w:szCs w:val="24"/>
          <w:bdr w:val="none" w:sz="0" w:space="0" w:color="auto"/>
          <w:lang w:val="en-US" w:eastAsia="nl-NL"/>
        </w:rPr>
        <w:t>judicial authorities</w:t>
      </w:r>
      <w:r w:rsidR="00FE36ED" w:rsidRPr="003450F1">
        <w:rPr>
          <w:rFonts w:ascii="Times New Roman" w:eastAsiaTheme="minorEastAsia" w:hAnsi="Times New Roman" w:cs="Times New Roman"/>
          <w:color w:val="auto"/>
          <w:sz w:val="24"/>
          <w:szCs w:val="24"/>
          <w:bdr w:val="none" w:sz="0" w:space="0" w:color="auto"/>
          <w:lang w:val="en-US" w:eastAsia="nl-NL"/>
        </w:rPr>
        <w:t xml:space="preserve"> would need those data</w:t>
      </w:r>
      <w:r w:rsidR="001A711E" w:rsidRPr="003450F1">
        <w:rPr>
          <w:rFonts w:ascii="Times New Roman" w:eastAsiaTheme="minorEastAsia" w:hAnsi="Times New Roman" w:cs="Times New Roman"/>
          <w:color w:val="auto"/>
          <w:sz w:val="24"/>
          <w:szCs w:val="24"/>
          <w:bdr w:val="none" w:sz="0" w:space="0" w:color="auto"/>
          <w:lang w:val="en-US" w:eastAsia="nl-NL"/>
        </w:rPr>
        <w:t xml:space="preserve">. During the 6-month period, the data may be accessible only by the authorities for serious reasons enlisted in the Article in name or by the authorities competent for litigation regarding interconnection and billing. After the 6-month period, the service providers and operators </w:t>
      </w:r>
      <w:r w:rsidR="00F07A13" w:rsidRPr="003450F1">
        <w:rPr>
          <w:rFonts w:ascii="Times New Roman" w:eastAsiaTheme="minorEastAsia" w:hAnsi="Times New Roman" w:cs="Times New Roman"/>
          <w:color w:val="auto"/>
          <w:sz w:val="24"/>
          <w:szCs w:val="24"/>
          <w:bdr w:val="none" w:sz="0" w:space="0" w:color="auto"/>
          <w:lang w:val="en-US" w:eastAsia="nl-NL"/>
        </w:rPr>
        <w:t xml:space="preserve">must </w:t>
      </w:r>
      <w:r w:rsidR="001A711E" w:rsidRPr="003450F1">
        <w:rPr>
          <w:rFonts w:ascii="Times New Roman" w:eastAsiaTheme="minorEastAsia" w:hAnsi="Times New Roman" w:cs="Times New Roman"/>
          <w:color w:val="auto"/>
          <w:sz w:val="24"/>
          <w:szCs w:val="24"/>
          <w:bdr w:val="none" w:sz="0" w:space="0" w:color="auto"/>
          <w:lang w:val="en-US" w:eastAsia="nl-NL"/>
        </w:rPr>
        <w:t>delete the</w:t>
      </w:r>
      <w:r w:rsidR="00EE5463" w:rsidRPr="003450F1">
        <w:rPr>
          <w:rFonts w:ascii="Times New Roman" w:eastAsiaTheme="minorEastAsia" w:hAnsi="Times New Roman" w:cs="Times New Roman"/>
          <w:color w:val="auto"/>
          <w:sz w:val="24"/>
          <w:szCs w:val="24"/>
          <w:bdr w:val="none" w:sz="0" w:space="0" w:color="auto"/>
          <w:lang w:val="en-US" w:eastAsia="nl-NL"/>
        </w:rPr>
        <w:t xml:space="preserve"> data in name and</w:t>
      </w:r>
      <w:r w:rsidR="00612ED1" w:rsidRPr="003450F1">
        <w:rPr>
          <w:rFonts w:ascii="Times New Roman" w:eastAsiaTheme="minorEastAsia" w:hAnsi="Times New Roman" w:cs="Times New Roman"/>
          <w:color w:val="auto"/>
          <w:sz w:val="24"/>
          <w:szCs w:val="24"/>
          <w:bdr w:val="none" w:sz="0" w:space="0" w:color="auto"/>
          <w:lang w:val="en-US" w:eastAsia="nl-NL"/>
        </w:rPr>
        <w:t xml:space="preserve"> render them</w:t>
      </w:r>
      <w:r w:rsidR="00BC49F7" w:rsidRPr="003450F1">
        <w:rPr>
          <w:rFonts w:ascii="Times New Roman" w:eastAsiaTheme="minorEastAsia" w:hAnsi="Times New Roman" w:cs="Times New Roman"/>
          <w:color w:val="auto"/>
          <w:sz w:val="24"/>
          <w:szCs w:val="24"/>
          <w:bdr w:val="none" w:sz="0" w:space="0" w:color="auto"/>
          <w:lang w:val="en-US" w:eastAsia="nl-NL"/>
        </w:rPr>
        <w:t xml:space="preserve"> anonymous.</w:t>
      </w:r>
    </w:p>
    <w:p w14:paraId="53B3B984" w14:textId="47CDC6C4" w:rsidR="00FE36ED" w:rsidRPr="003450F1" w:rsidRDefault="00FE36ED"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More specifically, Article 5 of the Law of 30 May 2005 provides the following with respect to the retention of </w:t>
      </w:r>
      <w:r w:rsidRPr="003450F1">
        <w:rPr>
          <w:rFonts w:ascii="Times New Roman" w:eastAsiaTheme="minorEastAsia" w:hAnsi="Times New Roman" w:cs="Times New Roman"/>
          <w:i/>
          <w:color w:val="auto"/>
          <w:sz w:val="24"/>
          <w:szCs w:val="24"/>
          <w:bdr w:val="none" w:sz="0" w:space="0" w:color="auto"/>
          <w:lang w:val="en-US" w:eastAsia="nl-NL"/>
        </w:rPr>
        <w:t>traffic data</w:t>
      </w:r>
      <w:r w:rsidRPr="003450F1">
        <w:rPr>
          <w:rFonts w:ascii="Times New Roman" w:eastAsiaTheme="minorEastAsia" w:hAnsi="Times New Roman" w:cs="Times New Roman"/>
          <w:color w:val="auto"/>
          <w:sz w:val="24"/>
          <w:szCs w:val="24"/>
          <w:bdr w:val="none" w:sz="0" w:space="0" w:color="auto"/>
          <w:lang w:val="en-US" w:eastAsia="nl-NL"/>
        </w:rPr>
        <w:t>:</w:t>
      </w:r>
    </w:p>
    <w:p w14:paraId="4D0B49AD" w14:textId="4E848D8A" w:rsidR="00FE36ED" w:rsidRPr="003450F1" w:rsidRDefault="00FE36ED" w:rsidP="00FE36ED">
      <w:pPr>
        <w:widowControl w:val="0"/>
        <w:autoSpaceDE w:val="0"/>
        <w:autoSpaceDN w:val="0"/>
        <w:adjustRightInd w:val="0"/>
        <w:spacing w:after="240"/>
        <w:ind w:left="708"/>
        <w:jc w:val="both"/>
        <w:rPr>
          <w:rFonts w:cs="Times"/>
        </w:rPr>
      </w:pPr>
      <w:r w:rsidRPr="003450F1">
        <w:rPr>
          <w:rFonts w:eastAsiaTheme="minorEastAsia"/>
          <w:bdr w:val="none" w:sz="0" w:space="0" w:color="auto"/>
          <w:lang w:eastAsia="nl-NL"/>
        </w:rPr>
        <w:t>‘</w:t>
      </w:r>
      <w:r w:rsidRPr="003450F1">
        <w:rPr>
          <w:rFonts w:cs="Arial"/>
        </w:rPr>
        <w:t>(1)</w:t>
      </w:r>
      <w:r w:rsidRPr="003450F1">
        <w:rPr>
          <w:rFonts w:cs="Times"/>
        </w:rPr>
        <w:t xml:space="preserve"> </w:t>
      </w:r>
      <w:r w:rsidRPr="003450F1">
        <w:rPr>
          <w:rFonts w:cs="Arial"/>
        </w:rPr>
        <w:t xml:space="preserve">(a) For the purposes of the investigation, detection and prosecution of criminal offences, subject to </w:t>
      </w:r>
      <w:r w:rsidR="004142E0" w:rsidRPr="003450F1">
        <w:rPr>
          <w:rFonts w:cs="Arial"/>
        </w:rPr>
        <w:t>a criminal penalty or a correctional penalty</w:t>
      </w:r>
      <w:r w:rsidR="004142E0" w:rsidRPr="003450F1">
        <w:rPr>
          <w:rStyle w:val="Odwoanieprzypisudolnego"/>
          <w:rFonts w:cs="Arial"/>
        </w:rPr>
        <w:footnoteReference w:id="37"/>
      </w:r>
      <w:r w:rsidR="004142E0" w:rsidRPr="003450F1">
        <w:rPr>
          <w:rFonts w:cs="Arial"/>
        </w:rPr>
        <w:t xml:space="preserve"> of maximum one year or more</w:t>
      </w:r>
      <w:r w:rsidRPr="003450F1">
        <w:rPr>
          <w:rFonts w:cs="Arial"/>
        </w:rPr>
        <w:t xml:space="preserve">, and solely with a view to enabling information to be made available, in so far as may be necessary, to the judicial authorities, any service provider or operator processing </w:t>
      </w:r>
      <w:r w:rsidR="004D18A3" w:rsidRPr="003450F1">
        <w:rPr>
          <w:rFonts w:cs="Arial"/>
        </w:rPr>
        <w:t xml:space="preserve">or generating </w:t>
      </w:r>
      <w:r w:rsidRPr="003450F1">
        <w:rPr>
          <w:rFonts w:cs="Arial"/>
        </w:rPr>
        <w:t xml:space="preserve">traffic data </w:t>
      </w:r>
      <w:r w:rsidR="004D18A3" w:rsidRPr="003450F1">
        <w:rPr>
          <w:rFonts w:cs="Arial"/>
        </w:rPr>
        <w:t xml:space="preserve">in the context of the </w:t>
      </w:r>
      <w:r w:rsidR="008C10AE" w:rsidRPr="003450F1">
        <w:rPr>
          <w:rFonts w:cs="Arial"/>
        </w:rPr>
        <w:t>supply</w:t>
      </w:r>
      <w:r w:rsidR="004D18A3" w:rsidRPr="003450F1">
        <w:rPr>
          <w:rFonts w:cs="Arial"/>
        </w:rPr>
        <w:t xml:space="preserve"> of services </w:t>
      </w:r>
      <w:r w:rsidRPr="003450F1">
        <w:rPr>
          <w:rFonts w:cs="Arial"/>
        </w:rPr>
        <w:t xml:space="preserve">must retain such data for a period of 6 months from the date of the communication. The obligation to retain data shall include the retention of the data relating to unsuccessful call attempts where those </w:t>
      </w:r>
      <w:r w:rsidR="008C10AE" w:rsidRPr="003450F1">
        <w:rPr>
          <w:rFonts w:cs="Arial"/>
        </w:rPr>
        <w:t>data are generated or processed</w:t>
      </w:r>
      <w:r w:rsidRPr="003450F1">
        <w:rPr>
          <w:rFonts w:cs="Arial"/>
        </w:rPr>
        <w:t xml:space="preserve"> and stored (as regards telephony data) or logged (as regards </w:t>
      </w:r>
      <w:r w:rsidR="00F07A13" w:rsidRPr="003450F1">
        <w:rPr>
          <w:rFonts w:cs="Arial"/>
        </w:rPr>
        <w:t>Internet</w:t>
      </w:r>
      <w:r w:rsidRPr="003450F1">
        <w:rPr>
          <w:rFonts w:cs="Arial"/>
        </w:rPr>
        <w:t xml:space="preserve"> data) in the process of supplying the communication services concerned. </w:t>
      </w:r>
      <w:r w:rsidR="00261063" w:rsidRPr="003450F1">
        <w:rPr>
          <w:rFonts w:cs="Arial"/>
        </w:rPr>
        <w:t xml:space="preserve">A Grand-Ducal Regulation </w:t>
      </w:r>
      <w:r w:rsidR="00383356" w:rsidRPr="003450F1">
        <w:rPr>
          <w:rFonts w:cs="Arial"/>
        </w:rPr>
        <w:t>[‘</w:t>
      </w:r>
      <w:r w:rsidR="00383356" w:rsidRPr="003450F1">
        <w:rPr>
          <w:rFonts w:cs="Arial"/>
          <w:i/>
        </w:rPr>
        <w:t xml:space="preserve">un </w:t>
      </w:r>
      <w:proofErr w:type="spellStart"/>
      <w:r w:rsidR="00383356" w:rsidRPr="003450F1">
        <w:rPr>
          <w:rFonts w:cs="Arial"/>
          <w:i/>
        </w:rPr>
        <w:t>Règlement</w:t>
      </w:r>
      <w:proofErr w:type="spellEnd"/>
      <w:r w:rsidR="00383356" w:rsidRPr="003450F1">
        <w:rPr>
          <w:rFonts w:cs="Arial"/>
          <w:i/>
        </w:rPr>
        <w:t xml:space="preserve"> grand-ducal</w:t>
      </w:r>
      <w:r w:rsidR="00383356" w:rsidRPr="003450F1">
        <w:rPr>
          <w:rFonts w:cs="Arial"/>
        </w:rPr>
        <w:t xml:space="preserve">’] </w:t>
      </w:r>
      <w:r w:rsidR="00261063" w:rsidRPr="003450F1">
        <w:rPr>
          <w:rFonts w:cs="Arial"/>
        </w:rPr>
        <w:t>shall determine t</w:t>
      </w:r>
      <w:r w:rsidRPr="003450F1">
        <w:rPr>
          <w:rFonts w:cs="Arial"/>
        </w:rPr>
        <w:t xml:space="preserve">he categories of traffic data </w:t>
      </w:r>
      <w:r w:rsidR="008C10AE" w:rsidRPr="003450F1">
        <w:rPr>
          <w:rFonts w:cs="Arial"/>
        </w:rPr>
        <w:t xml:space="preserve">which may be </w:t>
      </w:r>
      <w:r w:rsidRPr="003450F1">
        <w:rPr>
          <w:rFonts w:cs="Arial"/>
        </w:rPr>
        <w:t>used for the investigation, detection and prosecution of criminal offences</w:t>
      </w:r>
      <w:r w:rsidR="00261063" w:rsidRPr="003450F1">
        <w:rPr>
          <w:rFonts w:cs="Arial"/>
        </w:rPr>
        <w:t xml:space="preserve"> </w:t>
      </w:r>
      <w:r w:rsidR="00027F62" w:rsidRPr="003450F1">
        <w:rPr>
          <w:rFonts w:cs="Arial"/>
        </w:rPr>
        <w:t xml:space="preserve">referred to </w:t>
      </w:r>
      <w:r w:rsidR="00A8594B" w:rsidRPr="003450F1">
        <w:rPr>
          <w:rFonts w:cs="Arial"/>
        </w:rPr>
        <w:t>above</w:t>
      </w:r>
      <w:r w:rsidR="00261063" w:rsidRPr="003450F1">
        <w:rPr>
          <w:rFonts w:cs="Arial"/>
        </w:rPr>
        <w:t xml:space="preserve">. This </w:t>
      </w:r>
      <w:r w:rsidRPr="003450F1">
        <w:rPr>
          <w:rFonts w:cs="Arial"/>
        </w:rPr>
        <w:t>Regulation</w:t>
      </w:r>
      <w:r w:rsidR="00261063" w:rsidRPr="003450F1">
        <w:rPr>
          <w:rFonts w:cs="Arial"/>
        </w:rPr>
        <w:t xml:space="preserve"> may also determine the form</w:t>
      </w:r>
      <w:r w:rsidR="00EC06E9" w:rsidRPr="003450F1">
        <w:rPr>
          <w:rFonts w:cs="Arial"/>
        </w:rPr>
        <w:t>s</w:t>
      </w:r>
      <w:r w:rsidR="00261063" w:rsidRPr="003450F1">
        <w:rPr>
          <w:rFonts w:cs="Arial"/>
        </w:rPr>
        <w:t xml:space="preserve"> and modalities according to which t</w:t>
      </w:r>
      <w:r w:rsidR="00EC06E9" w:rsidRPr="003450F1">
        <w:rPr>
          <w:rFonts w:cs="Arial"/>
        </w:rPr>
        <w:t xml:space="preserve">he data concerned </w:t>
      </w:r>
      <w:r w:rsidR="002F14CC" w:rsidRPr="003450F1">
        <w:rPr>
          <w:rFonts w:cs="Arial"/>
        </w:rPr>
        <w:t>are</w:t>
      </w:r>
      <w:r w:rsidR="00A8594B" w:rsidRPr="003450F1">
        <w:rPr>
          <w:rFonts w:cs="Arial"/>
        </w:rPr>
        <w:t xml:space="preserve"> to be</w:t>
      </w:r>
      <w:r w:rsidR="002F14CC" w:rsidRPr="003450F1">
        <w:rPr>
          <w:rFonts w:cs="Arial"/>
        </w:rPr>
        <w:t xml:space="preserve"> made available </w:t>
      </w:r>
      <w:r w:rsidR="00EC06E9" w:rsidRPr="003450F1">
        <w:rPr>
          <w:rFonts w:cs="Arial"/>
        </w:rPr>
        <w:t>to the judicial authorities</w:t>
      </w:r>
      <w:r w:rsidRPr="003450F1">
        <w:rPr>
          <w:rFonts w:cs="Arial"/>
        </w:rPr>
        <w:t>.</w:t>
      </w:r>
    </w:p>
    <w:p w14:paraId="45164EAF" w14:textId="68F5E74E" w:rsidR="00FE36ED" w:rsidRPr="003450F1" w:rsidRDefault="00FE36ED" w:rsidP="00FE36ED">
      <w:pPr>
        <w:widowControl w:val="0"/>
        <w:autoSpaceDE w:val="0"/>
        <w:autoSpaceDN w:val="0"/>
        <w:adjustRightInd w:val="0"/>
        <w:spacing w:after="240"/>
        <w:ind w:left="708"/>
        <w:jc w:val="both"/>
        <w:rPr>
          <w:rFonts w:cs="Times"/>
        </w:rPr>
      </w:pPr>
      <w:r w:rsidRPr="003450F1">
        <w:rPr>
          <w:rFonts w:cs="Arial"/>
        </w:rPr>
        <w:t xml:space="preserve">(b) Upon the expiry of the retention period provided for in (a), the service provider or operator shall be required to erase </w:t>
      </w:r>
      <w:r w:rsidR="002F14CC" w:rsidRPr="003450F1">
        <w:rPr>
          <w:rFonts w:cs="Arial"/>
        </w:rPr>
        <w:t xml:space="preserve">the </w:t>
      </w:r>
      <w:r w:rsidRPr="003450F1">
        <w:rPr>
          <w:rFonts w:cs="Arial"/>
        </w:rPr>
        <w:t>traffic data relating to subscribers and users</w:t>
      </w:r>
      <w:r w:rsidR="002F14CC" w:rsidRPr="003450F1">
        <w:rPr>
          <w:rFonts w:cs="Arial"/>
        </w:rPr>
        <w:t>, or to render them anonymous</w:t>
      </w:r>
      <w:r w:rsidRPr="003450F1">
        <w:rPr>
          <w:rFonts w:cs="Arial"/>
        </w:rPr>
        <w:t>.</w:t>
      </w:r>
    </w:p>
    <w:p w14:paraId="03D56B71" w14:textId="3CB77A32" w:rsidR="00FE36ED" w:rsidRPr="003450F1" w:rsidRDefault="00FE36ED" w:rsidP="00FE36ED">
      <w:pPr>
        <w:widowControl w:val="0"/>
        <w:autoSpaceDE w:val="0"/>
        <w:autoSpaceDN w:val="0"/>
        <w:adjustRightInd w:val="0"/>
        <w:spacing w:after="240"/>
        <w:ind w:left="708"/>
        <w:jc w:val="both"/>
        <w:rPr>
          <w:rFonts w:cs="Times"/>
        </w:rPr>
      </w:pPr>
      <w:r w:rsidRPr="003450F1">
        <w:rPr>
          <w:rFonts w:cs="Arial"/>
        </w:rPr>
        <w:t xml:space="preserve">(2) </w:t>
      </w:r>
      <w:r w:rsidR="0063452B" w:rsidRPr="003450F1">
        <w:rPr>
          <w:rFonts w:cs="Arial"/>
        </w:rPr>
        <w:t>Every service provider or operator</w:t>
      </w:r>
      <w:r w:rsidRPr="003450F1">
        <w:rPr>
          <w:rFonts w:cs="Arial"/>
        </w:rPr>
        <w:t xml:space="preserve"> processing traffic data </w:t>
      </w:r>
      <w:r w:rsidR="00A128A3" w:rsidRPr="003450F1">
        <w:rPr>
          <w:rFonts w:cs="Arial"/>
        </w:rPr>
        <w:t>relating to</w:t>
      </w:r>
      <w:r w:rsidRPr="003450F1">
        <w:rPr>
          <w:rFonts w:cs="Arial"/>
        </w:rPr>
        <w:t xml:space="preserve"> subscribers or users shall be required to take all necessary steps to ensure the retention of such data for the period provided for in paragraph (1)</w:t>
      </w:r>
      <w:r w:rsidR="00261063" w:rsidRPr="003450F1">
        <w:rPr>
          <w:rFonts w:cs="Arial"/>
        </w:rPr>
        <w:t xml:space="preserve"> </w:t>
      </w:r>
      <w:r w:rsidRPr="003450F1">
        <w:rPr>
          <w:rFonts w:cs="Arial"/>
        </w:rPr>
        <w:t xml:space="preserve">(a), in such a way as to make it impossible for anyone to access the data in question once they are no longer needed for the transmission of a communication or for </w:t>
      </w:r>
      <w:r w:rsidR="00A128A3" w:rsidRPr="003450F1">
        <w:rPr>
          <w:rFonts w:cs="Arial"/>
        </w:rPr>
        <w:t xml:space="preserve">the </w:t>
      </w:r>
      <w:r w:rsidRPr="003450F1">
        <w:rPr>
          <w:rFonts w:cs="Arial"/>
        </w:rPr>
        <w:t>processing pursuant to paragraphs (3) and (4), with the exception of access which is:</w:t>
      </w:r>
    </w:p>
    <w:p w14:paraId="40BABE26" w14:textId="5E96E3AE" w:rsidR="00FE36ED" w:rsidRPr="003450F1" w:rsidRDefault="00A8594B" w:rsidP="00FE36ED">
      <w:pPr>
        <w:widowControl w:val="0"/>
        <w:autoSpaceDE w:val="0"/>
        <w:autoSpaceDN w:val="0"/>
        <w:adjustRightInd w:val="0"/>
        <w:spacing w:after="240"/>
        <w:ind w:left="708"/>
        <w:jc w:val="both"/>
        <w:rPr>
          <w:rFonts w:cs="Times"/>
        </w:rPr>
      </w:pPr>
      <w:r w:rsidRPr="003450F1">
        <w:rPr>
          <w:rFonts w:cs="Arial"/>
        </w:rPr>
        <w:t xml:space="preserve">- </w:t>
      </w:r>
      <w:r w:rsidR="00FE36ED" w:rsidRPr="003450F1">
        <w:rPr>
          <w:rFonts w:cs="Arial"/>
        </w:rPr>
        <w:t xml:space="preserve">ordered by </w:t>
      </w:r>
      <w:r w:rsidR="00A128A3" w:rsidRPr="003450F1">
        <w:rPr>
          <w:rFonts w:cs="Arial"/>
        </w:rPr>
        <w:t xml:space="preserve">judicial </w:t>
      </w:r>
      <w:r w:rsidR="00FE36ED" w:rsidRPr="003450F1">
        <w:rPr>
          <w:rFonts w:cs="Arial"/>
        </w:rPr>
        <w:t xml:space="preserve">authorities </w:t>
      </w:r>
      <w:r w:rsidR="000D1446" w:rsidRPr="003450F1">
        <w:t>acting in the context of their legal powers,</w:t>
      </w:r>
      <w:r w:rsidR="000D1446" w:rsidRPr="003450F1">
        <w:rPr>
          <w:rStyle w:val="Odwoanieprzypisudolnego"/>
        </w:rPr>
        <w:footnoteReference w:id="38"/>
      </w:r>
      <w:r w:rsidR="00FE36ED" w:rsidRPr="003450F1">
        <w:rPr>
          <w:rFonts w:cs="Arial"/>
        </w:rPr>
        <w:t xml:space="preserve"> or by </w:t>
      </w:r>
      <w:r w:rsidR="00A128A3" w:rsidRPr="003450F1">
        <w:rPr>
          <w:rFonts w:cs="Arial"/>
        </w:rPr>
        <w:t xml:space="preserve">the </w:t>
      </w:r>
      <w:r w:rsidR="00FE36ED" w:rsidRPr="003450F1">
        <w:rPr>
          <w:rFonts w:cs="Arial"/>
        </w:rPr>
        <w:t xml:space="preserve">authorities competent pursuant to Articles 88-1 to 88-4 of the Code of Criminal Procedure to </w:t>
      </w:r>
      <w:r w:rsidR="00FE36ED" w:rsidRPr="003450F1">
        <w:rPr>
          <w:rFonts w:cs="Arial"/>
        </w:rPr>
        <w:lastRenderedPageBreak/>
        <w:t xml:space="preserve">safeguard </w:t>
      </w:r>
      <w:r w:rsidR="00B75349" w:rsidRPr="003450F1">
        <w:rPr>
          <w:rFonts w:cs="Arial"/>
        </w:rPr>
        <w:t>national</w:t>
      </w:r>
      <w:r w:rsidR="00FE36ED" w:rsidRPr="003450F1">
        <w:rPr>
          <w:rFonts w:cs="Arial"/>
        </w:rPr>
        <w:t xml:space="preserve"> security, </w:t>
      </w:r>
      <w:proofErr w:type="spellStart"/>
      <w:r w:rsidR="00FE36ED" w:rsidRPr="003450F1">
        <w:rPr>
          <w:rFonts w:cs="Arial"/>
        </w:rPr>
        <w:t>defence</w:t>
      </w:r>
      <w:proofErr w:type="spellEnd"/>
      <w:r w:rsidR="00FE36ED" w:rsidRPr="003450F1">
        <w:rPr>
          <w:rFonts w:cs="Arial"/>
        </w:rPr>
        <w:t xml:space="preserve">, public security and </w:t>
      </w:r>
      <w:r w:rsidR="00A70F66" w:rsidRPr="003450F1">
        <w:rPr>
          <w:rFonts w:cs="Arial"/>
        </w:rPr>
        <w:t xml:space="preserve">for </w:t>
      </w:r>
      <w:r w:rsidR="00FE36ED" w:rsidRPr="003450F1">
        <w:rPr>
          <w:rFonts w:cs="Arial"/>
        </w:rPr>
        <w:t>the prevention, investigation, detection and prosecution of crimina</w:t>
      </w:r>
      <w:r w:rsidRPr="003450F1">
        <w:rPr>
          <w:rFonts w:cs="Arial"/>
        </w:rPr>
        <w:t>l offences</w:t>
      </w:r>
      <w:r w:rsidR="00027F62" w:rsidRPr="003450F1">
        <w:rPr>
          <w:rFonts w:cs="Arial"/>
        </w:rPr>
        <w:t xml:space="preserve"> referred to in paragraph (1) (a),</w:t>
      </w:r>
      <w:r w:rsidRPr="003450F1">
        <w:rPr>
          <w:rFonts w:cs="Arial"/>
        </w:rPr>
        <w:t xml:space="preserve"> or</w:t>
      </w:r>
    </w:p>
    <w:p w14:paraId="571D9025" w14:textId="77777777" w:rsidR="00FE36ED" w:rsidRPr="003450F1" w:rsidRDefault="00FE36ED" w:rsidP="00FE36ED">
      <w:pPr>
        <w:widowControl w:val="0"/>
        <w:autoSpaceDE w:val="0"/>
        <w:autoSpaceDN w:val="0"/>
        <w:adjustRightInd w:val="0"/>
        <w:spacing w:after="240"/>
        <w:ind w:left="708"/>
        <w:jc w:val="both"/>
        <w:rPr>
          <w:rFonts w:cs="Arial"/>
        </w:rPr>
      </w:pPr>
      <w:r w:rsidRPr="003450F1">
        <w:rPr>
          <w:rFonts w:cs="Arial"/>
        </w:rPr>
        <w:t>- requested by the competent bodies with a view to settling disputes, in particular interconnection or billing disputes.</w:t>
      </w:r>
    </w:p>
    <w:p w14:paraId="6BCB0855" w14:textId="02519E8B" w:rsidR="00A70F66" w:rsidRPr="003450F1" w:rsidRDefault="00A70F66" w:rsidP="00FE36ED">
      <w:pPr>
        <w:widowControl w:val="0"/>
        <w:autoSpaceDE w:val="0"/>
        <w:autoSpaceDN w:val="0"/>
        <w:adjustRightInd w:val="0"/>
        <w:spacing w:after="240"/>
        <w:ind w:left="708"/>
        <w:jc w:val="both"/>
        <w:rPr>
          <w:rFonts w:cs="Arial"/>
        </w:rPr>
      </w:pPr>
      <w:r w:rsidRPr="003450F1">
        <w:rPr>
          <w:rFonts w:cs="Arial"/>
        </w:rPr>
        <w:t>(…)</w:t>
      </w:r>
    </w:p>
    <w:p w14:paraId="2892B7C5" w14:textId="5816422F" w:rsidR="00FE36ED" w:rsidRPr="003450F1" w:rsidRDefault="00027F62" w:rsidP="00FE36ED">
      <w:pPr>
        <w:widowControl w:val="0"/>
        <w:tabs>
          <w:tab w:val="left" w:pos="220"/>
          <w:tab w:val="left" w:pos="720"/>
        </w:tabs>
        <w:autoSpaceDE w:val="0"/>
        <w:autoSpaceDN w:val="0"/>
        <w:adjustRightInd w:val="0"/>
        <w:spacing w:after="240"/>
        <w:ind w:left="708"/>
        <w:jc w:val="both"/>
        <w:rPr>
          <w:rFonts w:cs="Times"/>
        </w:rPr>
      </w:pPr>
      <w:r w:rsidRPr="003450F1">
        <w:rPr>
          <w:rFonts w:cs="Arial"/>
        </w:rPr>
        <w:t xml:space="preserve">(5) </w:t>
      </w:r>
      <w:r w:rsidR="00A70F66" w:rsidRPr="003450F1">
        <w:rPr>
          <w:rFonts w:cs="Arial"/>
        </w:rPr>
        <w:t>The p</w:t>
      </w:r>
      <w:r w:rsidR="00FE36ED" w:rsidRPr="003450F1">
        <w:rPr>
          <w:rFonts w:cs="Arial"/>
        </w:rPr>
        <w:t xml:space="preserve">rocessing of traffic data in the context of the activities referred to in paragraphs (1) to (4) shall be restricted to persons acting under the authority of the service provider or operator and handling billing or traffic management, customer enquiries, fraud detection, marketing electronic communications services or providing a value added service. It must be restricted to what is necessary for the purposes of such activities. </w:t>
      </w:r>
    </w:p>
    <w:p w14:paraId="230A20BD" w14:textId="5AF9A16B" w:rsidR="003D2357" w:rsidRPr="003450F1" w:rsidRDefault="00027F62" w:rsidP="00FE36ED">
      <w:pPr>
        <w:widowControl w:val="0"/>
        <w:tabs>
          <w:tab w:val="left" w:pos="220"/>
          <w:tab w:val="left" w:pos="720"/>
        </w:tabs>
        <w:autoSpaceDE w:val="0"/>
        <w:autoSpaceDN w:val="0"/>
        <w:adjustRightInd w:val="0"/>
        <w:spacing w:after="240"/>
        <w:ind w:left="708"/>
        <w:jc w:val="both"/>
        <w:rPr>
          <w:rFonts w:cs="Arial"/>
        </w:rPr>
      </w:pPr>
      <w:r w:rsidRPr="003450F1">
        <w:rPr>
          <w:rFonts w:cs="Arial"/>
        </w:rPr>
        <w:t xml:space="preserve">(6) </w:t>
      </w:r>
      <w:r w:rsidR="003D2357" w:rsidRPr="003450F1">
        <w:t xml:space="preserve">Whoever violates the provisions of </w:t>
      </w:r>
      <w:r w:rsidR="003D2357" w:rsidRPr="003450F1">
        <w:rPr>
          <w:rFonts w:cs="Arial"/>
        </w:rPr>
        <w:t xml:space="preserve">paragraphs (1) to (5) of the present article </w:t>
      </w:r>
      <w:r w:rsidR="003D2357" w:rsidRPr="003450F1">
        <w:t>is punish</w:t>
      </w:r>
      <w:r w:rsidR="00A70F66" w:rsidRPr="003450F1">
        <w:t xml:space="preserve">able by a prison sentence of </w:t>
      </w:r>
      <w:r w:rsidR="003D2357" w:rsidRPr="003450F1">
        <w:t xml:space="preserve">eight days </w:t>
      </w:r>
      <w:r w:rsidR="00A70F66" w:rsidRPr="003450F1">
        <w:t xml:space="preserve">up </w:t>
      </w:r>
      <w:r w:rsidR="003D2357" w:rsidRPr="003450F1">
        <w:t xml:space="preserve">to one year and </w:t>
      </w:r>
      <w:r w:rsidR="00A70F66" w:rsidRPr="003450F1">
        <w:t>by</w:t>
      </w:r>
      <w:r w:rsidR="003D2357" w:rsidRPr="003450F1">
        <w:t xml:space="preserve"> a fine of 251 </w:t>
      </w:r>
      <w:r w:rsidR="00A70F66" w:rsidRPr="003450F1">
        <w:t xml:space="preserve">up </w:t>
      </w:r>
      <w:r w:rsidR="00DB2CBC" w:rsidRPr="003450F1">
        <w:t>to 125,</w:t>
      </w:r>
      <w:r w:rsidR="003D2357" w:rsidRPr="003450F1">
        <w:t xml:space="preserve">000 euros or </w:t>
      </w:r>
      <w:r w:rsidR="00EB3B03" w:rsidRPr="003450F1">
        <w:t xml:space="preserve">by </w:t>
      </w:r>
      <w:r w:rsidR="003D2357" w:rsidRPr="003450F1">
        <w:t>one of these penalties</w:t>
      </w:r>
      <w:r w:rsidR="00EB3B03" w:rsidRPr="003450F1">
        <w:t xml:space="preserve"> only</w:t>
      </w:r>
      <w:r w:rsidR="003D2357" w:rsidRPr="003450F1">
        <w:t>. The court</w:t>
      </w:r>
      <w:r w:rsidR="00B75349" w:rsidRPr="003450F1">
        <w:t xml:space="preserve"> of competent jurisdiction</w:t>
      </w:r>
      <w:r w:rsidR="003D2357" w:rsidRPr="003450F1">
        <w:t xml:space="preserve"> can </w:t>
      </w:r>
      <w:r w:rsidR="00B75349" w:rsidRPr="003450F1">
        <w:t>cease</w:t>
      </w:r>
      <w:r w:rsidR="003D2357" w:rsidRPr="003450F1">
        <w:t xml:space="preserve"> the acts contrary to the provisions of the present article, and imposes a </w:t>
      </w:r>
      <w:r w:rsidR="00B75349" w:rsidRPr="003450F1">
        <w:t>monetary</w:t>
      </w:r>
      <w:r w:rsidR="00B9216B" w:rsidRPr="003450F1">
        <w:t xml:space="preserve"> </w:t>
      </w:r>
      <w:r w:rsidR="003D2357" w:rsidRPr="003450F1">
        <w:t>penalty in case of non-compliance, the maximum of which is set by the court</w:t>
      </w:r>
      <w:r w:rsidR="00B9216B" w:rsidRPr="003450F1">
        <w:t>.</w:t>
      </w:r>
      <w:r w:rsidR="00463CC7" w:rsidRPr="003450F1">
        <w:t>’</w:t>
      </w:r>
    </w:p>
    <w:p w14:paraId="07EC15B5" w14:textId="3EBE7D6A" w:rsidR="002F4A3F" w:rsidRPr="003450F1" w:rsidRDefault="00261063" w:rsidP="002F4A3F">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Article 9 states the following with respect to </w:t>
      </w:r>
      <w:r w:rsidRPr="003450F1">
        <w:rPr>
          <w:rFonts w:ascii="Times New Roman" w:eastAsiaTheme="minorEastAsia" w:hAnsi="Times New Roman" w:cs="Times New Roman"/>
          <w:i/>
          <w:color w:val="auto"/>
          <w:sz w:val="24"/>
          <w:szCs w:val="24"/>
          <w:bdr w:val="none" w:sz="0" w:space="0" w:color="auto"/>
          <w:lang w:val="en-US" w:eastAsia="nl-NL"/>
        </w:rPr>
        <w:t>location data other than traffic data</w:t>
      </w:r>
      <w:r w:rsidRPr="003450F1">
        <w:rPr>
          <w:rFonts w:ascii="Times New Roman" w:eastAsiaTheme="minorEastAsia" w:hAnsi="Times New Roman" w:cs="Times New Roman"/>
          <w:color w:val="auto"/>
          <w:sz w:val="24"/>
          <w:szCs w:val="24"/>
          <w:bdr w:val="none" w:sz="0" w:space="0" w:color="auto"/>
          <w:lang w:val="en-US" w:eastAsia="nl-NL"/>
        </w:rPr>
        <w:t>:</w:t>
      </w:r>
    </w:p>
    <w:p w14:paraId="07097CB3" w14:textId="5814331B" w:rsidR="002F4A3F" w:rsidRPr="003450F1" w:rsidRDefault="002F4A3F"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 xml:space="preserve">‘(1) </w:t>
      </w:r>
      <w:r w:rsidR="00027F62" w:rsidRPr="003450F1">
        <w:rPr>
          <w:rFonts w:cs="Arial"/>
        </w:rPr>
        <w:t xml:space="preserve">(a) </w:t>
      </w:r>
      <w:r w:rsidRPr="003450F1">
        <w:rPr>
          <w:rFonts w:cs="Arial"/>
        </w:rPr>
        <w:t xml:space="preserve">For the purposes of the investigation, detection and prosecution of criminal offences, subject to </w:t>
      </w:r>
      <w:r w:rsidR="004D18A3" w:rsidRPr="003450F1">
        <w:rPr>
          <w:rFonts w:cs="Arial"/>
        </w:rPr>
        <w:t xml:space="preserve">a criminal penalty or a correctional penalty of </w:t>
      </w:r>
      <w:r w:rsidR="00F07A13" w:rsidRPr="003450F1">
        <w:rPr>
          <w:rFonts w:cs="Arial"/>
        </w:rPr>
        <w:t xml:space="preserve">a </w:t>
      </w:r>
      <w:r w:rsidR="004D18A3" w:rsidRPr="003450F1">
        <w:rPr>
          <w:rFonts w:cs="Arial"/>
        </w:rPr>
        <w:t xml:space="preserve">maximum </w:t>
      </w:r>
      <w:r w:rsidR="00B75349" w:rsidRPr="003450F1">
        <w:rPr>
          <w:rFonts w:cs="Arial"/>
        </w:rPr>
        <w:t xml:space="preserve">of </w:t>
      </w:r>
      <w:r w:rsidR="004D18A3" w:rsidRPr="003450F1">
        <w:rPr>
          <w:rFonts w:cs="Arial"/>
        </w:rPr>
        <w:t>one year or more</w:t>
      </w:r>
      <w:r w:rsidRPr="003450F1">
        <w:rPr>
          <w:rFonts w:cs="Arial"/>
        </w:rPr>
        <w:t>, and solely with a view to enabling information to be made available, in so far as may be necessary, to the judicial authorities, any service provider or operator processing</w:t>
      </w:r>
      <w:r w:rsidR="00023C31" w:rsidRPr="003450F1">
        <w:rPr>
          <w:rFonts w:cs="Arial"/>
        </w:rPr>
        <w:t xml:space="preserve"> or generating</w:t>
      </w:r>
      <w:r w:rsidRPr="003450F1">
        <w:rPr>
          <w:rFonts w:cs="Arial"/>
        </w:rPr>
        <w:t xml:space="preserve"> location data other than traffic data must retain such data for a period of 6 months from the date of the communication. The obligation to retain data shall include the retention of the data relating to unsuccessful call attempts where those </w:t>
      </w:r>
      <w:r w:rsidR="00023C31" w:rsidRPr="003450F1">
        <w:rPr>
          <w:rFonts w:cs="Arial"/>
        </w:rPr>
        <w:t>data are generated or processed</w:t>
      </w:r>
      <w:r w:rsidRPr="003450F1">
        <w:rPr>
          <w:rFonts w:cs="Arial"/>
        </w:rPr>
        <w:t xml:space="preserve"> and stored (as regards telephony data) or logged (as regards </w:t>
      </w:r>
      <w:r w:rsidR="00F07A13" w:rsidRPr="003450F1">
        <w:rPr>
          <w:rFonts w:cs="Arial"/>
        </w:rPr>
        <w:t>Internet</w:t>
      </w:r>
      <w:r w:rsidRPr="003450F1">
        <w:rPr>
          <w:rFonts w:cs="Arial"/>
        </w:rPr>
        <w:t xml:space="preserve"> data) in the process of supplying the communication services concerned. For the purpose of this paragraph, only one single location information is needed per communication or call. </w:t>
      </w:r>
      <w:r w:rsidR="00027F62" w:rsidRPr="003450F1">
        <w:rPr>
          <w:rFonts w:cs="Arial"/>
        </w:rPr>
        <w:t xml:space="preserve">A Grand-Ducal Regulation shall determine the categories of location data other than traffic data </w:t>
      </w:r>
      <w:r w:rsidR="00B75349" w:rsidRPr="003450F1">
        <w:rPr>
          <w:rFonts w:cs="Arial"/>
        </w:rPr>
        <w:t xml:space="preserve">which </w:t>
      </w:r>
      <w:r w:rsidR="00EA3F5C" w:rsidRPr="003450F1">
        <w:rPr>
          <w:rFonts w:cs="Arial"/>
        </w:rPr>
        <w:t xml:space="preserve">may be </w:t>
      </w:r>
      <w:r w:rsidR="00027F62" w:rsidRPr="003450F1">
        <w:rPr>
          <w:rFonts w:cs="Arial"/>
        </w:rPr>
        <w:t xml:space="preserve">used for the investigation, detection and prosecution of criminal offences referred to above. This Regulation may also determine the forms and modalities according to which the data concerned </w:t>
      </w:r>
      <w:r w:rsidR="00EA3F5C" w:rsidRPr="003450F1">
        <w:rPr>
          <w:rFonts w:cs="Arial"/>
        </w:rPr>
        <w:t xml:space="preserve">are to be made available </w:t>
      </w:r>
      <w:r w:rsidR="00027F62" w:rsidRPr="003450F1">
        <w:rPr>
          <w:rFonts w:cs="Arial"/>
        </w:rPr>
        <w:t>to the judicial authorities.</w:t>
      </w:r>
    </w:p>
    <w:p w14:paraId="12019E7F" w14:textId="283EFE01" w:rsidR="002F4A3F" w:rsidRPr="003450F1" w:rsidRDefault="00B75349"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 xml:space="preserve">(b)  Upon the expiration </w:t>
      </w:r>
      <w:r w:rsidR="002F4A3F" w:rsidRPr="003450F1">
        <w:rPr>
          <w:rFonts w:cs="Arial"/>
        </w:rPr>
        <w:t xml:space="preserve">of the retention period provided for in (a), the service provider or operator shall be required to erase the location data other than traffic data </w:t>
      </w:r>
      <w:r w:rsidRPr="003450F1">
        <w:rPr>
          <w:rFonts w:cs="Arial"/>
        </w:rPr>
        <w:t xml:space="preserve">which </w:t>
      </w:r>
      <w:r w:rsidR="002F4A3F" w:rsidRPr="003450F1">
        <w:rPr>
          <w:rFonts w:cs="Arial"/>
        </w:rPr>
        <w:t>rel</w:t>
      </w:r>
      <w:r w:rsidRPr="003450F1">
        <w:rPr>
          <w:rFonts w:cs="Arial"/>
        </w:rPr>
        <w:t>ate</w:t>
      </w:r>
      <w:r w:rsidR="00027F62" w:rsidRPr="003450F1">
        <w:rPr>
          <w:rFonts w:cs="Arial"/>
        </w:rPr>
        <w:t xml:space="preserve"> to subscribers and users</w:t>
      </w:r>
      <w:r w:rsidR="002F14CC" w:rsidRPr="003450F1">
        <w:rPr>
          <w:rFonts w:cs="Arial"/>
        </w:rPr>
        <w:t>, or to render them anonymous</w:t>
      </w:r>
      <w:r w:rsidR="00027F62" w:rsidRPr="003450F1">
        <w:rPr>
          <w:rFonts w:cs="Arial"/>
        </w:rPr>
        <w:t>.</w:t>
      </w:r>
    </w:p>
    <w:p w14:paraId="617AFFAA" w14:textId="5DA970F0" w:rsidR="002F4A3F" w:rsidRPr="003450F1" w:rsidRDefault="00027F62"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(2) Every service provider or operator</w:t>
      </w:r>
      <w:r w:rsidR="002F4A3F" w:rsidRPr="003450F1">
        <w:rPr>
          <w:rFonts w:cs="Arial"/>
        </w:rPr>
        <w:t xml:space="preserve"> processing location data other than traffic data relating to subscribers and users shall be required to take all necessary steps to ensure the retention of such data for the period provided for in paragraph (1)</w:t>
      </w:r>
      <w:r w:rsidRPr="003450F1">
        <w:rPr>
          <w:rFonts w:cs="Arial"/>
        </w:rPr>
        <w:t xml:space="preserve"> </w:t>
      </w:r>
      <w:r w:rsidR="002F4A3F" w:rsidRPr="003450F1">
        <w:rPr>
          <w:rFonts w:cs="Arial"/>
        </w:rPr>
        <w:t>(a), in such a way as to make it impossible for anyone to access the data in question with the exception of access which is ordered by</w:t>
      </w:r>
      <w:r w:rsidR="00023C31" w:rsidRPr="003450F1">
        <w:rPr>
          <w:rFonts w:cs="Arial"/>
        </w:rPr>
        <w:t xml:space="preserve"> judicial</w:t>
      </w:r>
      <w:r w:rsidR="002F4A3F" w:rsidRPr="003450F1">
        <w:rPr>
          <w:rFonts w:cs="Arial"/>
        </w:rPr>
        <w:t xml:space="preserve"> authorities </w:t>
      </w:r>
      <w:r w:rsidR="00514D80" w:rsidRPr="003450F1">
        <w:t>acting in the context of their legal powers,</w:t>
      </w:r>
      <w:r w:rsidR="00514D80" w:rsidRPr="003450F1">
        <w:rPr>
          <w:rStyle w:val="Odwoanieprzypisudolnego"/>
        </w:rPr>
        <w:footnoteReference w:id="39"/>
      </w:r>
      <w:r w:rsidR="002F4A3F" w:rsidRPr="003450F1">
        <w:rPr>
          <w:rFonts w:cs="Arial"/>
        </w:rPr>
        <w:t xml:space="preserve"> or by </w:t>
      </w:r>
      <w:r w:rsidR="00023C31" w:rsidRPr="003450F1">
        <w:rPr>
          <w:rFonts w:cs="Arial"/>
        </w:rPr>
        <w:t xml:space="preserve">the </w:t>
      </w:r>
      <w:r w:rsidR="002F4A3F" w:rsidRPr="003450F1">
        <w:rPr>
          <w:rFonts w:cs="Arial"/>
        </w:rPr>
        <w:t xml:space="preserve">authorities competent pursuant to Articles 88-1 to 88-4 of the Code of Criminal Procedure to safeguard </w:t>
      </w:r>
      <w:r w:rsidR="00B75349" w:rsidRPr="003450F1">
        <w:rPr>
          <w:rFonts w:cs="Arial"/>
        </w:rPr>
        <w:t>national</w:t>
      </w:r>
      <w:r w:rsidR="002F4A3F" w:rsidRPr="003450F1">
        <w:rPr>
          <w:rFonts w:cs="Arial"/>
        </w:rPr>
        <w:t xml:space="preserve"> security, </w:t>
      </w:r>
      <w:proofErr w:type="spellStart"/>
      <w:r w:rsidR="002F4A3F" w:rsidRPr="003450F1">
        <w:rPr>
          <w:rFonts w:cs="Arial"/>
        </w:rPr>
        <w:t>defence</w:t>
      </w:r>
      <w:proofErr w:type="spellEnd"/>
      <w:r w:rsidR="002F4A3F" w:rsidRPr="003450F1">
        <w:rPr>
          <w:rFonts w:cs="Arial"/>
        </w:rPr>
        <w:t xml:space="preserve">, public security and </w:t>
      </w:r>
      <w:r w:rsidR="00A70F66" w:rsidRPr="003450F1">
        <w:rPr>
          <w:rFonts w:cs="Arial"/>
        </w:rPr>
        <w:t xml:space="preserve">for </w:t>
      </w:r>
      <w:r w:rsidR="002F4A3F" w:rsidRPr="003450F1">
        <w:rPr>
          <w:rFonts w:cs="Arial"/>
        </w:rPr>
        <w:t>the prevention, investigation, detection and pr</w:t>
      </w:r>
      <w:r w:rsidRPr="003450F1">
        <w:rPr>
          <w:rFonts w:cs="Arial"/>
        </w:rPr>
        <w:t xml:space="preserve">osecution of criminal offences </w:t>
      </w:r>
      <w:r w:rsidR="002F4A3F" w:rsidRPr="003450F1">
        <w:rPr>
          <w:rFonts w:cs="Arial"/>
        </w:rPr>
        <w:t>refe</w:t>
      </w:r>
      <w:r w:rsidRPr="003450F1">
        <w:rPr>
          <w:rFonts w:cs="Arial"/>
        </w:rPr>
        <w:t>rred to in paragraph (1) (a).</w:t>
      </w:r>
    </w:p>
    <w:p w14:paraId="46AF0090" w14:textId="34806584" w:rsidR="002F4A3F" w:rsidRPr="003450F1" w:rsidRDefault="00027F62"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(3) Every service provider or operator</w:t>
      </w:r>
      <w:r w:rsidR="002F4A3F" w:rsidRPr="003450F1">
        <w:rPr>
          <w:rFonts w:cs="Arial"/>
        </w:rPr>
        <w:t xml:space="preserve"> may process location data other than traffic data </w:t>
      </w:r>
      <w:r w:rsidR="002F4A3F" w:rsidRPr="003450F1">
        <w:rPr>
          <w:rFonts w:cs="Arial"/>
        </w:rPr>
        <w:lastRenderedPageBreak/>
        <w:t xml:space="preserve">relating to subscribers and users only if such data have been made anonymous or </w:t>
      </w:r>
      <w:r w:rsidR="00023C31" w:rsidRPr="003450F1">
        <w:rPr>
          <w:rFonts w:cs="Arial"/>
        </w:rPr>
        <w:t xml:space="preserve">if </w:t>
      </w:r>
      <w:r w:rsidR="002F4A3F" w:rsidRPr="003450F1">
        <w:rPr>
          <w:rFonts w:cs="Arial"/>
        </w:rPr>
        <w:t>the subscriber or user concerned has given his/her consent thereto, to the extent and for the duration necessary for the supply of a</w:t>
      </w:r>
      <w:r w:rsidR="00023C31" w:rsidRPr="003450F1">
        <w:rPr>
          <w:rFonts w:cs="Arial"/>
        </w:rPr>
        <w:t xml:space="preserve"> </w:t>
      </w:r>
      <w:r w:rsidR="002F4A3F" w:rsidRPr="003450F1">
        <w:rPr>
          <w:rFonts w:cs="Arial"/>
        </w:rPr>
        <w:t>value</w:t>
      </w:r>
      <w:r w:rsidR="00023C31" w:rsidRPr="003450F1">
        <w:rPr>
          <w:rFonts w:cs="Arial"/>
        </w:rPr>
        <w:t>-added</w:t>
      </w:r>
      <w:r w:rsidR="002F4A3F" w:rsidRPr="003450F1">
        <w:rPr>
          <w:rFonts w:cs="Arial"/>
        </w:rPr>
        <w:t xml:space="preserve"> service and subject to the provisions of par</w:t>
      </w:r>
      <w:r w:rsidR="006716C2" w:rsidRPr="003450F1">
        <w:rPr>
          <w:rFonts w:cs="Arial"/>
        </w:rPr>
        <w:t>agraphs (2), (4) and (5).</w:t>
      </w:r>
    </w:p>
    <w:p w14:paraId="42B56C0E" w14:textId="547C9E77" w:rsidR="002F4A3F" w:rsidRPr="003450F1" w:rsidRDefault="00027F62"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(4) The service provider</w:t>
      </w:r>
      <w:r w:rsidR="002F4A3F" w:rsidRPr="003450F1">
        <w:rPr>
          <w:rFonts w:cs="Arial"/>
        </w:rPr>
        <w:t xml:space="preserve"> and, where appropriate</w:t>
      </w:r>
      <w:r w:rsidR="00A70F66" w:rsidRPr="003450F1">
        <w:rPr>
          <w:rFonts w:cs="Arial"/>
        </w:rPr>
        <w:t>,</w:t>
      </w:r>
      <w:r w:rsidR="002F4A3F" w:rsidRPr="003450F1">
        <w:rPr>
          <w:rFonts w:cs="Arial"/>
        </w:rPr>
        <w:t xml:space="preserve"> </w:t>
      </w:r>
      <w:r w:rsidRPr="003450F1">
        <w:rPr>
          <w:rFonts w:cs="Arial"/>
        </w:rPr>
        <w:t>the operator</w:t>
      </w:r>
      <w:r w:rsidR="002F4A3F" w:rsidRPr="003450F1">
        <w:rPr>
          <w:rFonts w:cs="Arial"/>
        </w:rPr>
        <w:t xml:space="preserve"> shall inform subscribers or users in advance of the types of location data other than traffic data processed, of the purposes and duration of the processing and whether the data will be transmitted to third parties for the purpose of providing the </w:t>
      </w:r>
      <w:r w:rsidR="00023C31" w:rsidRPr="003450F1">
        <w:rPr>
          <w:rFonts w:cs="Arial"/>
        </w:rPr>
        <w:t xml:space="preserve">added </w:t>
      </w:r>
      <w:r w:rsidR="002F4A3F" w:rsidRPr="003450F1">
        <w:rPr>
          <w:rFonts w:cs="Arial"/>
        </w:rPr>
        <w:t xml:space="preserve">value service. Subscribers or users shall be given the possibility to withdraw their consent to the processing of location data other than traffic data at any time. Where </w:t>
      </w:r>
      <w:r w:rsidR="00023C31" w:rsidRPr="003450F1">
        <w:rPr>
          <w:rFonts w:cs="Arial"/>
        </w:rPr>
        <w:t>the subscriber or user</w:t>
      </w:r>
      <w:r w:rsidR="002F4A3F" w:rsidRPr="003450F1">
        <w:rPr>
          <w:rFonts w:cs="Arial"/>
        </w:rPr>
        <w:t xml:space="preserve"> has </w:t>
      </w:r>
      <w:r w:rsidR="00023C31" w:rsidRPr="003450F1">
        <w:rPr>
          <w:rFonts w:cs="Arial"/>
        </w:rPr>
        <w:t xml:space="preserve">given his/her consent </w:t>
      </w:r>
      <w:r w:rsidR="002F4A3F" w:rsidRPr="003450F1">
        <w:rPr>
          <w:rFonts w:cs="Arial"/>
        </w:rPr>
        <w:t xml:space="preserve">for the processing of location data other than traffic data, </w:t>
      </w:r>
      <w:r w:rsidR="00023C31" w:rsidRPr="003450F1">
        <w:rPr>
          <w:rFonts w:cs="Arial"/>
        </w:rPr>
        <w:t>he/she</w:t>
      </w:r>
      <w:r w:rsidR="002F4A3F" w:rsidRPr="003450F1">
        <w:rPr>
          <w:rFonts w:cs="Arial"/>
        </w:rPr>
        <w:t xml:space="preserve"> must continue to have the possibility, using a simple means and free of charge, of temporarily refusing the processing of such data for each connection to the network or for each transmission of a communication. </w:t>
      </w:r>
    </w:p>
    <w:p w14:paraId="44FF2376" w14:textId="487240E7" w:rsidR="002F4A3F" w:rsidRPr="003450F1" w:rsidRDefault="00027F62" w:rsidP="002F4A3F">
      <w:pPr>
        <w:widowControl w:val="0"/>
        <w:tabs>
          <w:tab w:val="left" w:pos="220"/>
          <w:tab w:val="left" w:pos="720"/>
        </w:tabs>
        <w:autoSpaceDE w:val="0"/>
        <w:autoSpaceDN w:val="0"/>
        <w:adjustRightInd w:val="0"/>
        <w:spacing w:after="240"/>
        <w:ind w:left="708"/>
        <w:jc w:val="both"/>
        <w:rPr>
          <w:rFonts w:cs="Times"/>
        </w:rPr>
      </w:pPr>
      <w:r w:rsidRPr="003450F1">
        <w:rPr>
          <w:rFonts w:cs="Arial"/>
        </w:rPr>
        <w:t>(5) The p</w:t>
      </w:r>
      <w:r w:rsidR="002F4A3F" w:rsidRPr="003450F1">
        <w:rPr>
          <w:rFonts w:cs="Arial"/>
        </w:rPr>
        <w:t xml:space="preserve">rocessing of location data other than traffic data in the case of the activities referred to in paragraphs 1 to 4 shall be restricted to persons acting under the authority of the service provider or operator or of the </w:t>
      </w:r>
      <w:r w:rsidR="00023C31" w:rsidRPr="003450F1">
        <w:rPr>
          <w:rFonts w:cs="Arial"/>
        </w:rPr>
        <w:t>third party providing the value-</w:t>
      </w:r>
      <w:r w:rsidR="002F4A3F" w:rsidRPr="003450F1">
        <w:rPr>
          <w:rFonts w:cs="Arial"/>
        </w:rPr>
        <w:t>added service, and must be restricted to what is</w:t>
      </w:r>
      <w:r w:rsidR="00023C31" w:rsidRPr="003450F1">
        <w:rPr>
          <w:rFonts w:cs="Arial"/>
        </w:rPr>
        <w:t xml:space="preserve"> necessary for such activities.</w:t>
      </w:r>
    </w:p>
    <w:p w14:paraId="13CA71E2" w14:textId="01409F81" w:rsidR="00261063" w:rsidRPr="003450F1" w:rsidRDefault="00B704A2" w:rsidP="002F4A3F">
      <w:pPr>
        <w:pStyle w:val="Hoofdtekst"/>
        <w:spacing w:after="120"/>
        <w:ind w:left="708"/>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hAnsi="Times New Roman" w:cs="Times New Roman"/>
          <w:sz w:val="24"/>
          <w:szCs w:val="24"/>
          <w:lang w:val="en-US"/>
        </w:rPr>
        <w:t xml:space="preserve">(6) </w:t>
      </w:r>
      <w:r w:rsidR="002F4A3F" w:rsidRPr="003450F1">
        <w:rPr>
          <w:rFonts w:ascii="Times New Roman" w:hAnsi="Times New Roman" w:cs="Times New Roman"/>
          <w:sz w:val="24"/>
          <w:szCs w:val="24"/>
          <w:lang w:val="en-US"/>
        </w:rPr>
        <w:t xml:space="preserve">Whoever violates the provisions of paragraphs (1) to (5) of the present article is </w:t>
      </w:r>
      <w:r w:rsidR="00EB3B03" w:rsidRPr="003450F1">
        <w:rPr>
          <w:rFonts w:ascii="Times New Roman" w:hAnsi="Times New Roman" w:cs="Times New Roman"/>
          <w:sz w:val="24"/>
          <w:szCs w:val="24"/>
          <w:lang w:val="en-US"/>
        </w:rPr>
        <w:t>punishable by a prison sentence of eight days up to one year</w:t>
      </w:r>
      <w:r w:rsidR="00DB2CBC" w:rsidRPr="003450F1">
        <w:rPr>
          <w:rFonts w:ascii="Times New Roman" w:hAnsi="Times New Roman" w:cs="Times New Roman"/>
          <w:sz w:val="24"/>
          <w:szCs w:val="24"/>
          <w:lang w:val="en-US"/>
        </w:rPr>
        <w:t xml:space="preserve"> and by a fine of 251 up to 125,</w:t>
      </w:r>
      <w:r w:rsidR="00EB3B03" w:rsidRPr="003450F1">
        <w:rPr>
          <w:rFonts w:ascii="Times New Roman" w:hAnsi="Times New Roman" w:cs="Times New Roman"/>
          <w:sz w:val="24"/>
          <w:szCs w:val="24"/>
          <w:lang w:val="en-US"/>
        </w:rPr>
        <w:t>000 euros or by one of these penalties only</w:t>
      </w:r>
      <w:r w:rsidR="002F4A3F" w:rsidRPr="003450F1">
        <w:rPr>
          <w:rFonts w:ascii="Times New Roman" w:hAnsi="Times New Roman" w:cs="Times New Roman"/>
          <w:sz w:val="24"/>
          <w:szCs w:val="24"/>
          <w:lang w:val="en-US"/>
        </w:rPr>
        <w:t>. The court</w:t>
      </w:r>
      <w:r w:rsidR="00B75349" w:rsidRPr="003450F1">
        <w:rPr>
          <w:rFonts w:ascii="Times New Roman" w:hAnsi="Times New Roman" w:cs="Times New Roman"/>
          <w:sz w:val="24"/>
          <w:szCs w:val="24"/>
          <w:lang w:val="en-US"/>
        </w:rPr>
        <w:t xml:space="preserve"> of competent jurisdiction</w:t>
      </w:r>
      <w:r w:rsidR="002F4A3F" w:rsidRPr="003450F1">
        <w:rPr>
          <w:rFonts w:ascii="Times New Roman" w:hAnsi="Times New Roman" w:cs="Times New Roman"/>
          <w:sz w:val="24"/>
          <w:szCs w:val="24"/>
          <w:lang w:val="en-US"/>
        </w:rPr>
        <w:t xml:space="preserve"> can </w:t>
      </w:r>
      <w:r w:rsidR="00B75349" w:rsidRPr="003450F1">
        <w:rPr>
          <w:rFonts w:ascii="Times New Roman" w:hAnsi="Times New Roman" w:cs="Times New Roman"/>
          <w:sz w:val="24"/>
          <w:szCs w:val="24"/>
          <w:lang w:val="en-US"/>
        </w:rPr>
        <w:t xml:space="preserve">cease </w:t>
      </w:r>
      <w:r w:rsidR="002F4A3F" w:rsidRPr="003450F1">
        <w:rPr>
          <w:rFonts w:ascii="Times New Roman" w:hAnsi="Times New Roman" w:cs="Times New Roman"/>
          <w:sz w:val="24"/>
          <w:szCs w:val="24"/>
          <w:lang w:val="en-US"/>
        </w:rPr>
        <w:t xml:space="preserve">the acts contrary to the provisions of the present article, and </w:t>
      </w:r>
      <w:r w:rsidR="002F4A3F" w:rsidRPr="003450F1">
        <w:rPr>
          <w:rFonts w:ascii="Times New Roman" w:hAnsi="Times New Roman" w:cs="Times New Roman"/>
          <w:color w:val="auto"/>
          <w:sz w:val="24"/>
          <w:szCs w:val="24"/>
          <w:lang w:val="en-US"/>
        </w:rPr>
        <w:t xml:space="preserve">imposes a </w:t>
      </w:r>
      <w:r w:rsidR="00B75349" w:rsidRPr="003450F1">
        <w:rPr>
          <w:rFonts w:ascii="Times New Roman" w:hAnsi="Times New Roman" w:cs="Times New Roman"/>
          <w:sz w:val="24"/>
          <w:szCs w:val="24"/>
          <w:lang w:val="en-US"/>
        </w:rPr>
        <w:t>monetary</w:t>
      </w:r>
      <w:r w:rsidR="002F4A3F" w:rsidRPr="003450F1">
        <w:rPr>
          <w:rFonts w:ascii="Times New Roman" w:hAnsi="Times New Roman" w:cs="Times New Roman"/>
          <w:sz w:val="24"/>
          <w:szCs w:val="24"/>
          <w:lang w:val="en-US"/>
        </w:rPr>
        <w:t xml:space="preserve"> </w:t>
      </w:r>
      <w:r w:rsidR="002F4A3F" w:rsidRPr="003450F1">
        <w:rPr>
          <w:rFonts w:ascii="Times New Roman" w:hAnsi="Times New Roman" w:cs="Times New Roman"/>
          <w:color w:val="auto"/>
          <w:sz w:val="24"/>
          <w:szCs w:val="24"/>
          <w:lang w:val="en-US"/>
        </w:rPr>
        <w:t>penalty in case of non-compliance, the maximum of which is set by the court</w:t>
      </w:r>
      <w:r w:rsidR="002F4A3F" w:rsidRPr="003450F1">
        <w:rPr>
          <w:rFonts w:ascii="Times New Roman" w:hAnsi="Times New Roman" w:cs="Times New Roman"/>
          <w:sz w:val="24"/>
          <w:szCs w:val="24"/>
          <w:lang w:val="en-US"/>
        </w:rPr>
        <w:t>.’</w:t>
      </w:r>
    </w:p>
    <w:p w14:paraId="30E0DDFD" w14:textId="77777777" w:rsidR="00FE36ED" w:rsidRPr="003450F1" w:rsidRDefault="00FE36ED"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p>
    <w:p w14:paraId="3AE91F22" w14:textId="5AB43AC8" w:rsidR="001A711E" w:rsidRPr="003450F1" w:rsidRDefault="004C0C7D"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The Grand-Ducal </w:t>
      </w:r>
      <w:r w:rsidR="001A711E" w:rsidRPr="003450F1">
        <w:rPr>
          <w:rFonts w:ascii="Times New Roman" w:eastAsiaTheme="minorEastAsia" w:hAnsi="Times New Roman" w:cs="Times New Roman"/>
          <w:color w:val="auto"/>
          <w:sz w:val="24"/>
          <w:szCs w:val="24"/>
          <w:bdr w:val="none" w:sz="0" w:space="0" w:color="auto"/>
          <w:lang w:val="en-US" w:eastAsia="nl-NL"/>
        </w:rPr>
        <w:t xml:space="preserve">Regulation </w:t>
      </w:r>
      <w:r w:rsidRPr="003450F1">
        <w:rPr>
          <w:rFonts w:ascii="Times New Roman" w:eastAsiaTheme="minorEastAsia" w:hAnsi="Times New Roman" w:cs="Times New Roman"/>
          <w:color w:val="auto"/>
          <w:sz w:val="24"/>
          <w:szCs w:val="24"/>
          <w:bdr w:val="none" w:sz="0" w:space="0" w:color="auto"/>
          <w:lang w:val="en-US" w:eastAsia="nl-NL"/>
        </w:rPr>
        <w:t>referred to in Articles 5 and 9</w:t>
      </w:r>
      <w:r w:rsidR="00DF6A32" w:rsidRPr="003450F1">
        <w:rPr>
          <w:rFonts w:ascii="Times New Roman" w:eastAsiaTheme="minorEastAsia" w:hAnsi="Times New Roman" w:cs="Times New Roman"/>
          <w:color w:val="auto"/>
          <w:sz w:val="24"/>
          <w:szCs w:val="24"/>
          <w:bdr w:val="none" w:sz="0" w:space="0" w:color="auto"/>
          <w:lang w:val="en-US" w:eastAsia="nl-NL"/>
        </w:rPr>
        <w:t xml:space="preserve"> of the Law of 30 May 2005</w:t>
      </w:r>
      <w:r w:rsidRPr="003450F1">
        <w:rPr>
          <w:rFonts w:ascii="Times New Roman" w:eastAsiaTheme="minorEastAsia" w:hAnsi="Times New Roman" w:cs="Times New Roman"/>
          <w:color w:val="auto"/>
          <w:sz w:val="24"/>
          <w:szCs w:val="24"/>
          <w:bdr w:val="none" w:sz="0" w:space="0" w:color="auto"/>
          <w:lang w:val="en-US" w:eastAsia="nl-NL"/>
        </w:rPr>
        <w:t xml:space="preserve"> is the Regulation of </w:t>
      </w:r>
      <w:r w:rsidR="001A711E" w:rsidRPr="003450F1">
        <w:rPr>
          <w:rFonts w:ascii="Times New Roman" w:eastAsiaTheme="minorEastAsia" w:hAnsi="Times New Roman" w:cs="Times New Roman"/>
          <w:color w:val="auto"/>
          <w:sz w:val="24"/>
          <w:szCs w:val="24"/>
          <w:bdr w:val="none" w:sz="0" w:space="0" w:color="auto"/>
          <w:lang w:val="en-US" w:eastAsia="nl-NL"/>
        </w:rPr>
        <w:t>24 July 2010</w:t>
      </w:r>
      <w:r w:rsidR="002100D5" w:rsidRPr="003450F1">
        <w:rPr>
          <w:rFonts w:ascii="Times New Roman" w:eastAsiaTheme="minorEastAsia" w:hAnsi="Times New Roman" w:cs="Times New Roman"/>
          <w:color w:val="auto"/>
          <w:sz w:val="24"/>
          <w:szCs w:val="24"/>
          <w:bdr w:val="none" w:sz="0" w:space="0" w:color="auto"/>
          <w:lang w:val="en-US" w:eastAsia="nl-NL"/>
        </w:rPr>
        <w:t xml:space="preserve"> </w:t>
      </w:r>
      <w:r w:rsidR="002100D5" w:rsidRPr="003450F1">
        <w:rPr>
          <w:rFonts w:ascii="Times New Roman" w:hAnsi="Times New Roman" w:cs="Times New Roman"/>
          <w:bCs/>
          <w:sz w:val="24"/>
          <w:szCs w:val="24"/>
          <w:lang w:val="en-US"/>
        </w:rPr>
        <w:t>determining the categories of personal data generated or processed in the framework of the provision of services of electronic communications or networks of public communications</w:t>
      </w:r>
      <w:r w:rsidRPr="003450F1">
        <w:rPr>
          <w:rFonts w:ascii="Times New Roman" w:hAnsi="Times New Roman" w:cs="Times New Roman"/>
          <w:bCs/>
          <w:sz w:val="24"/>
          <w:szCs w:val="24"/>
          <w:lang w:val="en-US"/>
        </w:rPr>
        <w:t>.</w:t>
      </w:r>
      <w:r w:rsidR="002100D5"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0"/>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DF6A32" w:rsidRPr="003450F1">
        <w:rPr>
          <w:rFonts w:ascii="Times New Roman" w:eastAsiaTheme="minorEastAsia" w:hAnsi="Times New Roman" w:cs="Times New Roman"/>
          <w:color w:val="auto"/>
          <w:sz w:val="24"/>
          <w:szCs w:val="24"/>
          <w:bdr w:val="none" w:sz="0" w:space="0" w:color="auto"/>
          <w:lang w:val="en-US" w:eastAsia="nl-NL"/>
        </w:rPr>
        <w:t>Article 3 of this Regulation</w:t>
      </w:r>
      <w:r w:rsidRPr="003450F1">
        <w:rPr>
          <w:rFonts w:ascii="Times New Roman" w:eastAsiaTheme="minorEastAsia" w:hAnsi="Times New Roman" w:cs="Times New Roman"/>
          <w:color w:val="auto"/>
          <w:sz w:val="24"/>
          <w:szCs w:val="24"/>
          <w:bdr w:val="none" w:sz="0" w:space="0" w:color="auto"/>
          <w:lang w:val="en-US" w:eastAsia="nl-NL"/>
        </w:rPr>
        <w:t xml:space="preserve"> </w:t>
      </w:r>
      <w:r w:rsidR="002100D5" w:rsidRPr="003450F1">
        <w:rPr>
          <w:rFonts w:ascii="Times New Roman" w:hAnsi="Times New Roman" w:cs="Times New Roman"/>
          <w:bCs/>
          <w:sz w:val="24"/>
          <w:szCs w:val="24"/>
          <w:lang w:val="en-US"/>
        </w:rPr>
        <w:t>sets forth</w:t>
      </w:r>
      <w:r w:rsidR="001A711E" w:rsidRPr="003450F1">
        <w:rPr>
          <w:rFonts w:ascii="Times New Roman" w:hAnsi="Times New Roman" w:cs="Times New Roman"/>
          <w:bCs/>
          <w:sz w:val="24"/>
          <w:szCs w:val="24"/>
          <w:lang w:val="en-US"/>
        </w:rPr>
        <w:t xml:space="preserve"> </w:t>
      </w:r>
      <w:r w:rsidR="001A711E" w:rsidRPr="003450F1">
        <w:rPr>
          <w:rFonts w:ascii="Times New Roman" w:eastAsiaTheme="minorEastAsia" w:hAnsi="Times New Roman" w:cs="Times New Roman"/>
          <w:color w:val="auto"/>
          <w:sz w:val="24"/>
          <w:szCs w:val="24"/>
          <w:bdr w:val="none" w:sz="0" w:space="0" w:color="auto"/>
          <w:lang w:val="en-US" w:eastAsia="nl-NL"/>
        </w:rPr>
        <w:t xml:space="preserve">which data </w:t>
      </w:r>
      <w:r w:rsidR="00FA3618" w:rsidRPr="003450F1">
        <w:rPr>
          <w:rFonts w:ascii="Times New Roman" w:eastAsiaTheme="minorEastAsia" w:hAnsi="Times New Roman" w:cs="Times New Roman"/>
          <w:color w:val="auto"/>
          <w:sz w:val="24"/>
          <w:szCs w:val="24"/>
          <w:bdr w:val="none" w:sz="0" w:space="0" w:color="auto"/>
          <w:lang w:val="en-US" w:eastAsia="nl-NL"/>
        </w:rPr>
        <w:t>have</w:t>
      </w:r>
      <w:r w:rsidR="001A711E" w:rsidRPr="003450F1">
        <w:rPr>
          <w:rFonts w:ascii="Times New Roman" w:eastAsiaTheme="minorEastAsia" w:hAnsi="Times New Roman" w:cs="Times New Roman"/>
          <w:color w:val="auto"/>
          <w:sz w:val="24"/>
          <w:szCs w:val="24"/>
          <w:bdr w:val="none" w:sz="0" w:space="0" w:color="auto"/>
          <w:lang w:val="en-US" w:eastAsia="nl-NL"/>
        </w:rPr>
        <w:t xml:space="preserve"> to be retained (</w:t>
      </w:r>
      <w:r w:rsidR="001A711E" w:rsidRPr="003450F1">
        <w:rPr>
          <w:rFonts w:ascii="Times New Roman" w:eastAsiaTheme="minorEastAsia" w:hAnsi="Times New Roman" w:cs="Times New Roman"/>
          <w:i/>
          <w:color w:val="auto"/>
          <w:sz w:val="24"/>
          <w:szCs w:val="24"/>
          <w:bdr w:val="none" w:sz="0" w:space="0" w:color="auto"/>
          <w:lang w:val="en-US" w:eastAsia="nl-NL"/>
        </w:rPr>
        <w:t>infra</w:t>
      </w:r>
      <w:r w:rsidR="001A711E" w:rsidRPr="003450F1">
        <w:rPr>
          <w:rFonts w:ascii="Times New Roman" w:eastAsiaTheme="minorEastAsia" w:hAnsi="Times New Roman" w:cs="Times New Roman"/>
          <w:color w:val="auto"/>
          <w:sz w:val="24"/>
          <w:szCs w:val="24"/>
          <w:bdr w:val="none" w:sz="0" w:space="0" w:color="auto"/>
          <w:lang w:val="en-US" w:eastAsia="nl-NL"/>
        </w:rPr>
        <w:t xml:space="preserve">, </w:t>
      </w:r>
      <w:r w:rsidR="00C31C6C" w:rsidRPr="003450F1">
        <w:rPr>
          <w:rFonts w:ascii="Times New Roman" w:eastAsiaTheme="minorEastAsia" w:hAnsi="Times New Roman" w:cs="Times New Roman"/>
          <w:color w:val="auto"/>
          <w:sz w:val="24"/>
          <w:szCs w:val="24"/>
          <w:bdr w:val="none" w:sz="0" w:space="0" w:color="auto"/>
          <w:lang w:val="en-US" w:eastAsia="nl-NL"/>
        </w:rPr>
        <w:t xml:space="preserve">sub </w:t>
      </w:r>
      <w:r w:rsidR="001A711E" w:rsidRPr="003450F1">
        <w:rPr>
          <w:rFonts w:ascii="Times New Roman" w:eastAsiaTheme="minorEastAsia" w:hAnsi="Times New Roman" w:cs="Times New Roman"/>
          <w:color w:val="auto"/>
          <w:sz w:val="24"/>
          <w:szCs w:val="24"/>
          <w:bdr w:val="none" w:sz="0" w:space="0" w:color="auto"/>
          <w:lang w:val="en-US" w:eastAsia="nl-NL"/>
        </w:rPr>
        <w:t>question 4).</w:t>
      </w:r>
    </w:p>
    <w:p w14:paraId="5807EB99" w14:textId="77777777" w:rsidR="00DB3026" w:rsidRPr="003450F1" w:rsidRDefault="00DB3026"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p>
    <w:p w14:paraId="1C5C254F" w14:textId="77777777"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3. Are there any traffic data related to technologies such as Facebook, blogs or other information society services covered by your national legislation?</w:t>
      </w:r>
    </w:p>
    <w:p w14:paraId="559EAA9F" w14:textId="6CE213EE" w:rsidR="007920C0" w:rsidRPr="003450F1" w:rsidRDefault="00612ED1"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The p</w:t>
      </w:r>
      <w:r w:rsidR="001A711E" w:rsidRPr="003450F1">
        <w:rPr>
          <w:rFonts w:ascii="Times New Roman" w:eastAsiaTheme="minorEastAsia" w:hAnsi="Times New Roman" w:cs="Times New Roman"/>
          <w:color w:val="auto"/>
          <w:sz w:val="24"/>
          <w:szCs w:val="24"/>
          <w:bdr w:val="none" w:sz="0" w:space="0" w:color="auto"/>
          <w:lang w:val="en-US" w:eastAsia="nl-NL"/>
        </w:rPr>
        <w:t xml:space="preserve">rovisions on </w:t>
      </w:r>
      <w:r w:rsidR="00FA2E34" w:rsidRPr="003450F1">
        <w:rPr>
          <w:rFonts w:ascii="Times New Roman" w:eastAsiaTheme="minorEastAsia" w:hAnsi="Times New Roman" w:cs="Times New Roman"/>
          <w:color w:val="auto"/>
          <w:sz w:val="24"/>
          <w:szCs w:val="24"/>
          <w:bdr w:val="none" w:sz="0" w:space="0" w:color="auto"/>
          <w:lang w:val="en-US" w:eastAsia="nl-NL"/>
        </w:rPr>
        <w:t xml:space="preserve">the retention of </w:t>
      </w:r>
      <w:r w:rsidR="001A711E" w:rsidRPr="003450F1">
        <w:rPr>
          <w:rFonts w:ascii="Times New Roman" w:eastAsiaTheme="minorEastAsia" w:hAnsi="Times New Roman" w:cs="Times New Roman"/>
          <w:color w:val="auto"/>
          <w:sz w:val="24"/>
          <w:szCs w:val="24"/>
          <w:bdr w:val="none" w:sz="0" w:space="0" w:color="auto"/>
          <w:lang w:val="en-US" w:eastAsia="nl-NL"/>
        </w:rPr>
        <w:t xml:space="preserve">traffic data </w:t>
      </w:r>
      <w:r w:rsidR="00FA2E34" w:rsidRPr="003450F1">
        <w:rPr>
          <w:rFonts w:ascii="Times New Roman" w:eastAsiaTheme="minorEastAsia" w:hAnsi="Times New Roman" w:cs="Times New Roman"/>
          <w:color w:val="auto"/>
          <w:sz w:val="24"/>
          <w:szCs w:val="24"/>
          <w:bdr w:val="none" w:sz="0" w:space="0" w:color="auto"/>
          <w:lang w:val="en-US" w:eastAsia="nl-NL"/>
        </w:rPr>
        <w:t xml:space="preserve">can be found </w:t>
      </w:r>
      <w:r w:rsidR="001A711E" w:rsidRPr="003450F1">
        <w:rPr>
          <w:rFonts w:ascii="Times New Roman" w:eastAsiaTheme="minorEastAsia" w:hAnsi="Times New Roman" w:cs="Times New Roman"/>
          <w:color w:val="auto"/>
          <w:sz w:val="24"/>
          <w:szCs w:val="24"/>
          <w:bdr w:val="none" w:sz="0" w:space="0" w:color="auto"/>
          <w:lang w:val="en-US" w:eastAsia="nl-NL"/>
        </w:rPr>
        <w:t>in the Law of 30 May 2005</w:t>
      </w:r>
      <w:r w:rsidR="00FA2E34" w:rsidRPr="003450F1">
        <w:rPr>
          <w:rFonts w:ascii="Times New Roman" w:eastAsiaTheme="minorEastAsia" w:hAnsi="Times New Roman" w:cs="Times New Roman"/>
          <w:color w:val="auto"/>
          <w:sz w:val="24"/>
          <w:szCs w:val="24"/>
          <w:bdr w:val="none" w:sz="0" w:space="0" w:color="auto"/>
          <w:lang w:val="en-US" w:eastAsia="nl-NL"/>
        </w:rPr>
        <w:t xml:space="preserve"> and the Regulation of 24 July 2010</w:t>
      </w:r>
      <w:r w:rsidRPr="003450F1">
        <w:rPr>
          <w:rFonts w:ascii="Times New Roman" w:eastAsiaTheme="minorEastAsia" w:hAnsi="Times New Roman" w:cs="Times New Roman"/>
          <w:color w:val="auto"/>
          <w:sz w:val="24"/>
          <w:szCs w:val="24"/>
          <w:bdr w:val="none" w:sz="0" w:space="0" w:color="auto"/>
          <w:lang w:val="en-US" w:eastAsia="nl-NL"/>
        </w:rPr>
        <w:t xml:space="preserve">. As </w:t>
      </w:r>
      <w:r w:rsidR="00FA2E34" w:rsidRPr="003450F1">
        <w:rPr>
          <w:rFonts w:ascii="Times New Roman" w:eastAsiaTheme="minorEastAsia" w:hAnsi="Times New Roman" w:cs="Times New Roman"/>
          <w:color w:val="auto"/>
          <w:sz w:val="24"/>
          <w:szCs w:val="24"/>
          <w:bdr w:val="none" w:sz="0" w:space="0" w:color="auto"/>
          <w:lang w:val="en-US" w:eastAsia="nl-NL"/>
        </w:rPr>
        <w:t>discussed above</w:t>
      </w:r>
      <w:r w:rsidR="007920C0" w:rsidRPr="003450F1">
        <w:rPr>
          <w:rFonts w:ascii="Times New Roman" w:eastAsiaTheme="minorEastAsia" w:hAnsi="Times New Roman" w:cs="Times New Roman"/>
          <w:color w:val="auto"/>
          <w:sz w:val="24"/>
          <w:szCs w:val="24"/>
          <w:bdr w:val="none" w:sz="0" w:space="0" w:color="auto"/>
          <w:lang w:val="en-US" w:eastAsia="nl-NL"/>
        </w:rPr>
        <w:t xml:space="preserve"> (</w:t>
      </w:r>
      <w:r w:rsidR="007920C0" w:rsidRPr="003450F1">
        <w:rPr>
          <w:rFonts w:ascii="Times New Roman" w:eastAsiaTheme="minorEastAsia" w:hAnsi="Times New Roman" w:cs="Times New Roman"/>
          <w:i/>
          <w:color w:val="auto"/>
          <w:sz w:val="24"/>
          <w:szCs w:val="24"/>
          <w:bdr w:val="none" w:sz="0" w:space="0" w:color="auto"/>
          <w:lang w:val="en-US" w:eastAsia="nl-NL"/>
        </w:rPr>
        <w:t>supra</w:t>
      </w:r>
      <w:r w:rsidR="007920C0" w:rsidRPr="003450F1">
        <w:rPr>
          <w:rFonts w:ascii="Times New Roman" w:eastAsiaTheme="minorEastAsia" w:hAnsi="Times New Roman" w:cs="Times New Roman"/>
          <w:color w:val="auto"/>
          <w:sz w:val="24"/>
          <w:szCs w:val="24"/>
          <w:bdr w:val="none" w:sz="0" w:space="0" w:color="auto"/>
          <w:lang w:val="en-US" w:eastAsia="nl-NL"/>
        </w:rPr>
        <w:t>, question 2)</w:t>
      </w:r>
      <w:r w:rsidRPr="003450F1">
        <w:rPr>
          <w:rFonts w:ascii="Times New Roman" w:eastAsiaTheme="minorEastAsia" w:hAnsi="Times New Roman" w:cs="Times New Roman"/>
          <w:color w:val="auto"/>
          <w:sz w:val="24"/>
          <w:szCs w:val="24"/>
          <w:bdr w:val="none" w:sz="0" w:space="0" w:color="auto"/>
          <w:lang w:val="en-US" w:eastAsia="nl-NL"/>
        </w:rPr>
        <w:t xml:space="preserve">, </w:t>
      </w:r>
      <w:r w:rsidR="00FA2E34" w:rsidRPr="003450F1">
        <w:rPr>
          <w:rFonts w:ascii="Times New Roman" w:eastAsiaTheme="minorEastAsia" w:hAnsi="Times New Roman" w:cs="Times New Roman"/>
          <w:color w:val="auto"/>
          <w:sz w:val="24"/>
          <w:szCs w:val="24"/>
          <w:bdr w:val="none" w:sz="0" w:space="0" w:color="auto"/>
          <w:lang w:val="en-US" w:eastAsia="nl-NL"/>
        </w:rPr>
        <w:t>the Law of 30 May 2005 applies to all service providers offering electronic communication services. This Law does no</w:t>
      </w:r>
      <w:r w:rsidR="007920C0" w:rsidRPr="003450F1">
        <w:rPr>
          <w:rFonts w:ascii="Times New Roman" w:eastAsiaTheme="minorEastAsia" w:hAnsi="Times New Roman" w:cs="Times New Roman"/>
          <w:color w:val="auto"/>
          <w:sz w:val="24"/>
          <w:szCs w:val="24"/>
          <w:bdr w:val="none" w:sz="0" w:space="0" w:color="auto"/>
          <w:lang w:val="en-US" w:eastAsia="nl-NL"/>
        </w:rPr>
        <w:t>t apply to ‘information society services</w:t>
      </w:r>
      <w:r w:rsidR="00FA2E34" w:rsidRPr="003450F1">
        <w:rPr>
          <w:rFonts w:ascii="Times New Roman" w:eastAsiaTheme="minorEastAsia" w:hAnsi="Times New Roman" w:cs="Times New Roman"/>
          <w:color w:val="auto"/>
          <w:sz w:val="24"/>
          <w:szCs w:val="24"/>
          <w:bdr w:val="none" w:sz="0" w:space="0" w:color="auto"/>
          <w:lang w:val="en-US" w:eastAsia="nl-NL"/>
        </w:rPr>
        <w:t xml:space="preserve"> </w:t>
      </w:r>
      <w:r w:rsidR="007920C0" w:rsidRPr="003450F1">
        <w:rPr>
          <w:rFonts w:ascii="Times New Roman" w:eastAsiaTheme="minorEastAsia" w:hAnsi="Times New Roman" w:cs="Times New Roman"/>
          <w:color w:val="auto"/>
          <w:sz w:val="24"/>
          <w:szCs w:val="24"/>
          <w:bdr w:val="none" w:sz="0" w:space="0" w:color="auto"/>
          <w:lang w:val="en-US" w:eastAsia="nl-NL"/>
        </w:rPr>
        <w:t xml:space="preserve">which do not </w:t>
      </w:r>
      <w:r w:rsidR="00FA2E34" w:rsidRPr="003450F1">
        <w:rPr>
          <w:rFonts w:ascii="Times New Roman" w:eastAsiaTheme="minorEastAsia" w:hAnsi="Times New Roman" w:cs="Times New Roman"/>
          <w:color w:val="auto"/>
          <w:sz w:val="24"/>
          <w:szCs w:val="24"/>
          <w:bdr w:val="none" w:sz="0" w:space="0" w:color="auto"/>
          <w:lang w:val="en-US" w:eastAsia="nl-NL"/>
        </w:rPr>
        <w:t xml:space="preserve">consist wholly or mainly </w:t>
      </w:r>
      <w:r w:rsidR="007920C0" w:rsidRPr="003450F1">
        <w:rPr>
          <w:rFonts w:ascii="Times New Roman" w:eastAsiaTheme="minorEastAsia" w:hAnsi="Times New Roman" w:cs="Times New Roman"/>
          <w:color w:val="auto"/>
          <w:sz w:val="24"/>
          <w:szCs w:val="24"/>
          <w:bdr w:val="none" w:sz="0" w:space="0" w:color="auto"/>
          <w:lang w:val="en-US" w:eastAsia="nl-NL"/>
        </w:rPr>
        <w:t>in the transmission of signals to electronic communications networks.’</w:t>
      </w:r>
      <w:r w:rsidR="007920C0"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1"/>
      </w:r>
      <w:r w:rsidR="007920C0" w:rsidRPr="003450F1">
        <w:rPr>
          <w:rFonts w:ascii="Times New Roman" w:eastAsiaTheme="minorEastAsia" w:hAnsi="Times New Roman" w:cs="Times New Roman"/>
          <w:color w:val="auto"/>
          <w:sz w:val="24"/>
          <w:szCs w:val="24"/>
          <w:bdr w:val="none" w:sz="0" w:space="0" w:color="auto"/>
          <w:lang w:val="en-US" w:eastAsia="nl-NL"/>
        </w:rPr>
        <w:t xml:space="preserve"> Moreover, services ‘providing, or exercising editorial control over, content transmitted using electronic communications networks and services’ are excluded as well.</w:t>
      </w:r>
      <w:r w:rsidR="007920C0"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2"/>
      </w:r>
      <w:r w:rsidR="007920C0" w:rsidRPr="003450F1">
        <w:rPr>
          <w:rFonts w:ascii="Times New Roman" w:eastAsiaTheme="minorEastAsia" w:hAnsi="Times New Roman" w:cs="Times New Roman"/>
          <w:color w:val="auto"/>
          <w:sz w:val="24"/>
          <w:szCs w:val="24"/>
          <w:bdr w:val="none" w:sz="0" w:space="0" w:color="auto"/>
          <w:lang w:val="en-US" w:eastAsia="nl-NL"/>
        </w:rPr>
        <w:t xml:space="preserve"> The foregoing </w:t>
      </w:r>
      <w:r w:rsidR="000D6B3E" w:rsidRPr="003450F1">
        <w:rPr>
          <w:rFonts w:ascii="Times New Roman" w:eastAsiaTheme="minorEastAsia" w:hAnsi="Times New Roman" w:cs="Times New Roman"/>
          <w:color w:val="auto"/>
          <w:sz w:val="24"/>
          <w:szCs w:val="24"/>
          <w:bdr w:val="none" w:sz="0" w:space="0" w:color="auto"/>
          <w:lang w:val="en-US" w:eastAsia="nl-NL"/>
        </w:rPr>
        <w:t>seems to imply</w:t>
      </w:r>
      <w:r w:rsidR="007920C0" w:rsidRPr="003450F1">
        <w:rPr>
          <w:rFonts w:ascii="Times New Roman" w:eastAsiaTheme="minorEastAsia" w:hAnsi="Times New Roman" w:cs="Times New Roman"/>
          <w:color w:val="auto"/>
          <w:sz w:val="24"/>
          <w:szCs w:val="24"/>
          <w:bdr w:val="none" w:sz="0" w:space="0" w:color="auto"/>
          <w:lang w:val="en-US" w:eastAsia="nl-NL"/>
        </w:rPr>
        <w:t xml:space="preserve"> that traffic data relating to </w:t>
      </w:r>
      <w:r w:rsidR="00142116" w:rsidRPr="003450F1">
        <w:rPr>
          <w:rFonts w:ascii="Times New Roman" w:eastAsiaTheme="minorEastAsia" w:hAnsi="Times New Roman" w:cs="Times New Roman"/>
          <w:color w:val="auto"/>
          <w:sz w:val="24"/>
          <w:szCs w:val="24"/>
          <w:bdr w:val="none" w:sz="0" w:space="0" w:color="auto"/>
          <w:lang w:val="en-US" w:eastAsia="nl-NL"/>
        </w:rPr>
        <w:t xml:space="preserve">services offered by </w:t>
      </w:r>
      <w:r w:rsidR="007920C0" w:rsidRPr="003450F1">
        <w:rPr>
          <w:rFonts w:ascii="Times New Roman" w:eastAsiaTheme="minorEastAsia" w:hAnsi="Times New Roman" w:cs="Times New Roman"/>
          <w:color w:val="auto"/>
          <w:sz w:val="24"/>
          <w:szCs w:val="24"/>
          <w:bdr w:val="none" w:sz="0" w:space="0" w:color="auto"/>
          <w:lang w:val="en-US" w:eastAsia="nl-NL"/>
        </w:rPr>
        <w:t xml:space="preserve">ISPs </w:t>
      </w:r>
      <w:r w:rsidR="00142116" w:rsidRPr="003450F1">
        <w:rPr>
          <w:rFonts w:ascii="Times New Roman" w:eastAsiaTheme="minorEastAsia" w:hAnsi="Times New Roman" w:cs="Times New Roman"/>
          <w:color w:val="auto"/>
          <w:sz w:val="24"/>
          <w:szCs w:val="24"/>
          <w:bdr w:val="none" w:sz="0" w:space="0" w:color="auto"/>
          <w:lang w:val="en-US" w:eastAsia="nl-NL"/>
        </w:rPr>
        <w:t xml:space="preserve">which </w:t>
      </w:r>
      <w:r w:rsidR="000D6B3E" w:rsidRPr="003450F1">
        <w:rPr>
          <w:rFonts w:ascii="Times New Roman" w:eastAsiaTheme="minorEastAsia" w:hAnsi="Times New Roman" w:cs="Times New Roman"/>
          <w:color w:val="auto"/>
          <w:sz w:val="24"/>
          <w:szCs w:val="24"/>
          <w:bdr w:val="none" w:sz="0" w:space="0" w:color="auto"/>
          <w:lang w:val="en-US" w:eastAsia="nl-NL"/>
        </w:rPr>
        <w:t xml:space="preserve">only </w:t>
      </w:r>
      <w:r w:rsidR="00412F35" w:rsidRPr="003450F1">
        <w:rPr>
          <w:rFonts w:ascii="Times New Roman" w:eastAsiaTheme="minorEastAsia" w:hAnsi="Times New Roman" w:cs="Times New Roman"/>
          <w:color w:val="auto"/>
          <w:sz w:val="24"/>
          <w:szCs w:val="24"/>
          <w:bdr w:val="none" w:sz="0" w:space="0" w:color="auto"/>
          <w:lang w:val="en-US" w:eastAsia="nl-NL"/>
        </w:rPr>
        <w:t>host</w:t>
      </w:r>
      <w:r w:rsidR="007065E6" w:rsidRPr="003450F1">
        <w:rPr>
          <w:rFonts w:ascii="Times New Roman" w:eastAsiaTheme="minorEastAsia" w:hAnsi="Times New Roman" w:cs="Times New Roman"/>
          <w:color w:val="auto"/>
          <w:sz w:val="24"/>
          <w:szCs w:val="24"/>
          <w:bdr w:val="none" w:sz="0" w:space="0" w:color="auto"/>
          <w:lang w:val="en-US" w:eastAsia="nl-NL"/>
        </w:rPr>
        <w:t xml:space="preserve"> content provided by a recipient of the service</w:t>
      </w:r>
      <w:r w:rsidR="00412F35" w:rsidRPr="003450F1">
        <w:rPr>
          <w:rFonts w:ascii="Times New Roman" w:eastAsiaTheme="minorEastAsia" w:hAnsi="Times New Roman" w:cs="Times New Roman"/>
          <w:color w:val="auto"/>
          <w:sz w:val="24"/>
          <w:szCs w:val="24"/>
          <w:bdr w:val="none" w:sz="0" w:space="0" w:color="auto"/>
          <w:lang w:val="en-US" w:eastAsia="nl-NL"/>
        </w:rPr>
        <w:t xml:space="preserve"> (e.g. Facebook or Twitter)</w:t>
      </w:r>
      <w:r w:rsidR="007065E6" w:rsidRPr="003450F1">
        <w:rPr>
          <w:rFonts w:ascii="Times New Roman" w:eastAsiaTheme="minorEastAsia" w:hAnsi="Times New Roman" w:cs="Times New Roman"/>
          <w:color w:val="auto"/>
          <w:sz w:val="24"/>
          <w:szCs w:val="24"/>
          <w:bdr w:val="none" w:sz="0" w:space="0" w:color="auto"/>
          <w:lang w:val="en-US" w:eastAsia="nl-NL"/>
        </w:rPr>
        <w:t xml:space="preserve"> </w:t>
      </w:r>
      <w:r w:rsidR="00D9074B" w:rsidRPr="003450F1">
        <w:rPr>
          <w:rFonts w:ascii="Times New Roman" w:eastAsiaTheme="minorEastAsia" w:hAnsi="Times New Roman" w:cs="Times New Roman"/>
          <w:color w:val="auto"/>
          <w:sz w:val="24"/>
          <w:szCs w:val="24"/>
          <w:bdr w:val="none" w:sz="0" w:space="0" w:color="auto"/>
          <w:lang w:val="en-US" w:eastAsia="nl-NL"/>
        </w:rPr>
        <w:t>do not have to be kept.</w:t>
      </w:r>
    </w:p>
    <w:p w14:paraId="623E5AFC" w14:textId="1498E13A" w:rsidR="007920C0" w:rsidRPr="003450F1" w:rsidRDefault="007920C0" w:rsidP="001A711E">
      <w:pPr>
        <w:pStyle w:val="Hoofdtekst"/>
        <w:spacing w:after="12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Nevertheless, despite the clear wording of the 2005 Law, </w:t>
      </w:r>
      <w:r w:rsidR="003F79E4" w:rsidRPr="003450F1">
        <w:rPr>
          <w:rFonts w:ascii="Times New Roman" w:eastAsiaTheme="minorEastAsia" w:hAnsi="Times New Roman" w:cs="Times New Roman"/>
          <w:color w:val="auto"/>
          <w:sz w:val="24"/>
          <w:szCs w:val="24"/>
          <w:bdr w:val="none" w:sz="0" w:space="0" w:color="auto"/>
          <w:lang w:val="en-US" w:eastAsia="nl-NL"/>
        </w:rPr>
        <w:t xml:space="preserve">it is argued </w:t>
      </w:r>
      <w:r w:rsidRPr="003450F1">
        <w:rPr>
          <w:rFonts w:ascii="Times New Roman" w:eastAsiaTheme="minorEastAsia" w:hAnsi="Times New Roman" w:cs="Times New Roman"/>
          <w:color w:val="auto"/>
          <w:sz w:val="24"/>
          <w:szCs w:val="24"/>
          <w:bdr w:val="none" w:sz="0" w:space="0" w:color="auto"/>
          <w:lang w:val="en-US" w:eastAsia="nl-NL"/>
        </w:rPr>
        <w:t xml:space="preserve">by some authors </w:t>
      </w:r>
      <w:r w:rsidR="003F79E4" w:rsidRPr="003450F1">
        <w:rPr>
          <w:rFonts w:ascii="Times New Roman" w:eastAsiaTheme="minorEastAsia" w:hAnsi="Times New Roman" w:cs="Times New Roman"/>
          <w:color w:val="auto"/>
          <w:sz w:val="24"/>
          <w:szCs w:val="24"/>
          <w:bdr w:val="none" w:sz="0" w:space="0" w:color="auto"/>
          <w:lang w:val="en-US" w:eastAsia="nl-NL"/>
        </w:rPr>
        <w:t xml:space="preserve">that </w:t>
      </w:r>
      <w:r w:rsidR="00612ED1" w:rsidRPr="003450F1">
        <w:rPr>
          <w:rFonts w:ascii="Times New Roman" w:eastAsiaTheme="minorEastAsia" w:hAnsi="Times New Roman" w:cs="Times New Roman"/>
          <w:color w:val="auto"/>
          <w:sz w:val="24"/>
          <w:szCs w:val="24"/>
          <w:bdr w:val="none" w:sz="0" w:space="0" w:color="auto"/>
          <w:lang w:val="en-US" w:eastAsia="nl-NL"/>
        </w:rPr>
        <w:t xml:space="preserve">the </w:t>
      </w:r>
      <w:r w:rsidRPr="003450F1">
        <w:rPr>
          <w:rFonts w:ascii="Times New Roman" w:eastAsiaTheme="minorEastAsia" w:hAnsi="Times New Roman" w:cs="Times New Roman"/>
          <w:color w:val="auto"/>
          <w:sz w:val="24"/>
          <w:szCs w:val="24"/>
          <w:bdr w:val="none" w:sz="0" w:space="0" w:color="auto"/>
          <w:lang w:val="en-US" w:eastAsia="nl-NL"/>
        </w:rPr>
        <w:t xml:space="preserve">data retention </w:t>
      </w:r>
      <w:r w:rsidR="00612ED1" w:rsidRPr="003450F1">
        <w:rPr>
          <w:rFonts w:ascii="Times New Roman" w:eastAsiaTheme="minorEastAsia" w:hAnsi="Times New Roman" w:cs="Times New Roman"/>
          <w:color w:val="auto"/>
          <w:sz w:val="24"/>
          <w:szCs w:val="24"/>
          <w:bdr w:val="none" w:sz="0" w:space="0" w:color="auto"/>
          <w:lang w:val="en-US" w:eastAsia="nl-NL"/>
        </w:rPr>
        <w:t>obligations included in that Law apply to all service providers</w:t>
      </w:r>
      <w:r w:rsidR="00142116" w:rsidRPr="003450F1">
        <w:rPr>
          <w:rFonts w:ascii="Times New Roman" w:eastAsiaTheme="minorEastAsia" w:hAnsi="Times New Roman" w:cs="Times New Roman"/>
          <w:color w:val="auto"/>
          <w:sz w:val="24"/>
          <w:szCs w:val="24"/>
          <w:bdr w:val="none" w:sz="0" w:space="0" w:color="auto"/>
          <w:lang w:val="en-US" w:eastAsia="nl-NL"/>
        </w:rPr>
        <w:t xml:space="preserve">, including </w:t>
      </w:r>
      <w:r w:rsidR="00956A23" w:rsidRPr="003450F1">
        <w:rPr>
          <w:rFonts w:ascii="Times New Roman" w:eastAsiaTheme="minorEastAsia" w:hAnsi="Times New Roman" w:cs="Times New Roman"/>
          <w:color w:val="auto"/>
          <w:sz w:val="24"/>
          <w:szCs w:val="24"/>
          <w:bdr w:val="none" w:sz="0" w:space="0" w:color="auto"/>
          <w:lang w:val="en-US" w:eastAsia="nl-NL"/>
        </w:rPr>
        <w:t xml:space="preserve">intermediary service providers </w:t>
      </w:r>
      <w:r w:rsidR="00142116" w:rsidRPr="003450F1">
        <w:rPr>
          <w:rFonts w:ascii="Times New Roman" w:eastAsiaTheme="minorEastAsia" w:hAnsi="Times New Roman" w:cs="Times New Roman"/>
          <w:color w:val="auto"/>
          <w:sz w:val="24"/>
          <w:szCs w:val="24"/>
          <w:bdr w:val="none" w:sz="0" w:space="0" w:color="auto"/>
          <w:lang w:val="en-US" w:eastAsia="nl-NL"/>
        </w:rPr>
        <w:t xml:space="preserve">which </w:t>
      </w:r>
      <w:r w:rsidR="00956A23" w:rsidRPr="003450F1">
        <w:rPr>
          <w:rFonts w:ascii="Times New Roman" w:eastAsiaTheme="minorEastAsia" w:hAnsi="Times New Roman" w:cs="Times New Roman"/>
          <w:color w:val="auto"/>
          <w:sz w:val="24"/>
          <w:szCs w:val="24"/>
          <w:bdr w:val="none" w:sz="0" w:space="0" w:color="auto"/>
          <w:lang w:val="en-US" w:eastAsia="nl-NL"/>
        </w:rPr>
        <w:t xml:space="preserve">only </w:t>
      </w:r>
      <w:r w:rsidR="00142116" w:rsidRPr="003450F1">
        <w:rPr>
          <w:rFonts w:ascii="Times New Roman" w:eastAsiaTheme="minorEastAsia" w:hAnsi="Times New Roman" w:cs="Times New Roman"/>
          <w:color w:val="auto"/>
          <w:sz w:val="24"/>
          <w:szCs w:val="24"/>
          <w:bdr w:val="none" w:sz="0" w:space="0" w:color="auto"/>
          <w:lang w:val="en-US" w:eastAsia="nl-NL"/>
        </w:rPr>
        <w:t>t</w:t>
      </w:r>
      <w:r w:rsidR="00956A23" w:rsidRPr="003450F1">
        <w:rPr>
          <w:rFonts w:ascii="Times New Roman" w:eastAsiaTheme="minorEastAsia" w:hAnsi="Times New Roman" w:cs="Times New Roman"/>
          <w:color w:val="auto"/>
          <w:sz w:val="24"/>
          <w:szCs w:val="24"/>
          <w:bdr w:val="none" w:sz="0" w:space="0" w:color="auto"/>
          <w:lang w:val="en-US" w:eastAsia="nl-NL"/>
        </w:rPr>
        <w:t>ransmit</w:t>
      </w:r>
      <w:r w:rsidR="00142116" w:rsidRPr="003450F1">
        <w:rPr>
          <w:rFonts w:ascii="Times New Roman" w:eastAsiaTheme="minorEastAsia" w:hAnsi="Times New Roman" w:cs="Times New Roman"/>
          <w:color w:val="auto"/>
          <w:sz w:val="24"/>
          <w:szCs w:val="24"/>
          <w:bdr w:val="none" w:sz="0" w:space="0" w:color="auto"/>
          <w:lang w:val="en-US" w:eastAsia="nl-NL"/>
        </w:rPr>
        <w:t xml:space="preserve"> </w:t>
      </w:r>
      <w:r w:rsidR="002C5BF4" w:rsidRPr="003450F1">
        <w:rPr>
          <w:rFonts w:ascii="Times New Roman" w:eastAsiaTheme="minorEastAsia" w:hAnsi="Times New Roman" w:cs="Times New Roman"/>
          <w:color w:val="auto"/>
          <w:sz w:val="24"/>
          <w:szCs w:val="24"/>
          <w:bdr w:val="none" w:sz="0" w:space="0" w:color="auto"/>
          <w:lang w:val="en-US" w:eastAsia="nl-NL"/>
        </w:rPr>
        <w:t>or</w:t>
      </w:r>
      <w:r w:rsidR="00414EF8" w:rsidRPr="003450F1">
        <w:rPr>
          <w:rFonts w:ascii="Times New Roman" w:eastAsiaTheme="minorEastAsia" w:hAnsi="Times New Roman" w:cs="Times New Roman"/>
          <w:color w:val="auto"/>
          <w:sz w:val="24"/>
          <w:szCs w:val="24"/>
          <w:bdr w:val="none" w:sz="0" w:space="0" w:color="auto"/>
          <w:lang w:val="en-US" w:eastAsia="nl-NL"/>
        </w:rPr>
        <w:t xml:space="preserve"> </w:t>
      </w:r>
      <w:r w:rsidR="00142116" w:rsidRPr="003450F1">
        <w:rPr>
          <w:rFonts w:ascii="Times New Roman" w:hAnsi="Times New Roman" w:cs="Times New Roman"/>
          <w:bCs/>
          <w:sz w:val="24"/>
          <w:szCs w:val="24"/>
          <w:lang w:val="en-US"/>
        </w:rPr>
        <w:t>host</w:t>
      </w:r>
      <w:r w:rsidR="003F79E4" w:rsidRPr="003450F1">
        <w:rPr>
          <w:rFonts w:ascii="Times New Roman" w:hAnsi="Times New Roman" w:cs="Times New Roman"/>
          <w:bCs/>
          <w:sz w:val="24"/>
          <w:szCs w:val="24"/>
          <w:lang w:val="en-US"/>
        </w:rPr>
        <w:t xml:space="preserve"> information provided by a recipient of the service</w:t>
      </w:r>
      <w:r w:rsidRPr="003450F1">
        <w:rPr>
          <w:rFonts w:ascii="Times New Roman" w:hAnsi="Times New Roman" w:cs="Times New Roman"/>
          <w:bCs/>
          <w:sz w:val="24"/>
          <w:szCs w:val="24"/>
          <w:lang w:val="en-US"/>
        </w:rPr>
        <w:t xml:space="preserve"> </w:t>
      </w:r>
      <w:r w:rsidRPr="003450F1">
        <w:rPr>
          <w:rFonts w:ascii="Times New Roman" w:eastAsiaTheme="minorEastAsia" w:hAnsi="Times New Roman" w:cs="Times New Roman"/>
          <w:color w:val="auto"/>
          <w:sz w:val="24"/>
          <w:szCs w:val="24"/>
          <w:bdr w:val="none" w:sz="0" w:space="0" w:color="auto"/>
          <w:lang w:val="en-US" w:eastAsia="nl-NL"/>
        </w:rPr>
        <w:lastRenderedPageBreak/>
        <w:t>(</w:t>
      </w:r>
      <w:r w:rsidRPr="003450F1">
        <w:rPr>
          <w:rFonts w:ascii="Times New Roman" w:eastAsiaTheme="minorEastAsia" w:hAnsi="Times New Roman" w:cs="Times New Roman"/>
          <w:i/>
          <w:color w:val="auto"/>
          <w:sz w:val="24"/>
          <w:szCs w:val="24"/>
          <w:bdr w:val="none" w:sz="0" w:space="0" w:color="auto"/>
          <w:lang w:val="en-US" w:eastAsia="nl-NL"/>
        </w:rPr>
        <w:t>supra</w:t>
      </w:r>
      <w:r w:rsidRPr="003450F1">
        <w:rPr>
          <w:rFonts w:ascii="Times New Roman" w:eastAsiaTheme="minorEastAsia" w:hAnsi="Times New Roman" w:cs="Times New Roman"/>
          <w:color w:val="auto"/>
          <w:sz w:val="24"/>
          <w:szCs w:val="24"/>
          <w:bdr w:val="none" w:sz="0" w:space="0" w:color="auto"/>
          <w:lang w:val="en-US" w:eastAsia="nl-NL"/>
        </w:rPr>
        <w:t>, question 2)</w:t>
      </w:r>
      <w:r w:rsidR="003F79E4" w:rsidRPr="003450F1">
        <w:rPr>
          <w:rFonts w:ascii="Times New Roman" w:hAnsi="Times New Roman" w:cs="Times New Roman"/>
          <w:bCs/>
          <w:sz w:val="24"/>
          <w:szCs w:val="24"/>
          <w:lang w:val="en-US"/>
        </w:rPr>
        <w:t>.</w:t>
      </w:r>
      <w:r w:rsidR="002C5BF4" w:rsidRPr="003450F1">
        <w:rPr>
          <w:rStyle w:val="Odwoanieprzypisudolnego"/>
          <w:rFonts w:ascii="Times New Roman" w:hAnsi="Times New Roman" w:cs="Times New Roman"/>
          <w:bCs/>
          <w:sz w:val="24"/>
          <w:szCs w:val="24"/>
          <w:lang w:val="en-US"/>
        </w:rPr>
        <w:footnoteReference w:id="43"/>
      </w:r>
      <w:r w:rsidR="003F79E4" w:rsidRPr="003450F1">
        <w:rPr>
          <w:rFonts w:ascii="Times New Roman" w:hAnsi="Times New Roman" w:cs="Times New Roman"/>
          <w:bCs/>
          <w:sz w:val="24"/>
          <w:szCs w:val="24"/>
          <w:lang w:val="en-US"/>
        </w:rPr>
        <w:t xml:space="preserve"> </w:t>
      </w:r>
      <w:r w:rsidRPr="003450F1">
        <w:rPr>
          <w:rFonts w:ascii="Times New Roman" w:hAnsi="Times New Roman" w:cs="Times New Roman"/>
          <w:bCs/>
          <w:sz w:val="24"/>
          <w:szCs w:val="24"/>
          <w:lang w:val="en-US"/>
        </w:rPr>
        <w:t>Whether such broad interpretation will be accepted by the Luxembourgish courts, remains to be seen.</w:t>
      </w:r>
    </w:p>
    <w:p w14:paraId="767B6749" w14:textId="40C7B7B1" w:rsidR="00414EF8" w:rsidRPr="003450F1" w:rsidRDefault="001E5ED6" w:rsidP="001A711E">
      <w:pPr>
        <w:pStyle w:val="Hoofdtekst"/>
        <w:spacing w:after="120"/>
        <w:jc w:val="both"/>
        <w:rPr>
          <w:rFonts w:ascii="Times New Roman" w:hAnsi="Times New Roman" w:cs="Times New Roman"/>
          <w:bCs/>
          <w:sz w:val="24"/>
          <w:szCs w:val="24"/>
          <w:lang w:val="en-US"/>
        </w:rPr>
      </w:pPr>
      <w:r>
        <w:rPr>
          <w:rFonts w:ascii="Times New Roman" w:hAnsi="Times New Roman" w:cs="Times New Roman"/>
          <w:bCs/>
          <w:sz w:val="24"/>
          <w:szCs w:val="24"/>
          <w:lang w:val="en-US"/>
        </w:rPr>
        <w:t>In light of the recent case law of the CJEU, one may wonder though whether the current distinction upon which the data retention obligations are based should not be revised.</w:t>
      </w:r>
      <w:r w:rsidR="00412F35"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4"/>
      </w:r>
    </w:p>
    <w:p w14:paraId="6D75A6FE" w14:textId="77777777" w:rsidR="007920C0" w:rsidRPr="003450F1" w:rsidRDefault="007920C0"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p>
    <w:p w14:paraId="7FBECC86" w14:textId="77777777"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4. What data are kept by IAPs and ISPs?</w:t>
      </w:r>
    </w:p>
    <w:p w14:paraId="55B92292" w14:textId="1DE3FCE4" w:rsidR="001A711E" w:rsidRPr="003450F1" w:rsidRDefault="00DF6A32"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hAnsi="Times New Roman" w:cs="Times New Roman"/>
          <w:bCs/>
          <w:sz w:val="24"/>
          <w:szCs w:val="24"/>
          <w:lang w:val="en-US"/>
        </w:rPr>
        <w:t xml:space="preserve">As indicated above (sub question 2), the </w:t>
      </w:r>
      <w:r w:rsidR="001A711E" w:rsidRPr="003450F1">
        <w:rPr>
          <w:rFonts w:ascii="Times New Roman" w:hAnsi="Times New Roman" w:cs="Times New Roman"/>
          <w:bCs/>
          <w:sz w:val="24"/>
          <w:szCs w:val="24"/>
          <w:lang w:val="en-US"/>
        </w:rPr>
        <w:t>Regulation of 24 July 2010</w:t>
      </w:r>
      <w:r w:rsidRPr="003450F1">
        <w:rPr>
          <w:rFonts w:ascii="Times New Roman" w:hAnsi="Times New Roman" w:cs="Times New Roman"/>
          <w:bCs/>
          <w:sz w:val="24"/>
          <w:szCs w:val="24"/>
          <w:lang w:val="en-US"/>
        </w:rPr>
        <w:t xml:space="preserve"> determines which data are to be kept by the service providers covered by the Law of 30 May 2005. A</w:t>
      </w:r>
      <w:r w:rsidR="001A711E" w:rsidRPr="003450F1">
        <w:rPr>
          <w:rFonts w:ascii="Times New Roman" w:hAnsi="Times New Roman" w:cs="Times New Roman"/>
          <w:bCs/>
          <w:sz w:val="24"/>
          <w:szCs w:val="24"/>
          <w:lang w:val="en-US"/>
        </w:rPr>
        <w:t>s provided by Article 1</w:t>
      </w:r>
      <w:r w:rsidRPr="003450F1">
        <w:rPr>
          <w:rFonts w:ascii="Times New Roman" w:hAnsi="Times New Roman" w:cs="Times New Roman"/>
          <w:bCs/>
          <w:sz w:val="24"/>
          <w:szCs w:val="24"/>
          <w:lang w:val="en-US"/>
        </w:rPr>
        <w:t xml:space="preserve"> of the Regulation</w:t>
      </w:r>
      <w:r w:rsidR="001A711E" w:rsidRPr="003450F1">
        <w:rPr>
          <w:rFonts w:ascii="Times New Roman" w:hAnsi="Times New Roman" w:cs="Times New Roman"/>
          <w:bCs/>
          <w:sz w:val="24"/>
          <w:szCs w:val="24"/>
          <w:lang w:val="en-US"/>
        </w:rPr>
        <w:t xml:space="preserve">, </w:t>
      </w:r>
      <w:r w:rsidRPr="003450F1">
        <w:rPr>
          <w:rFonts w:ascii="Times New Roman" w:hAnsi="Times New Roman" w:cs="Times New Roman"/>
          <w:bCs/>
          <w:sz w:val="24"/>
          <w:szCs w:val="24"/>
          <w:lang w:val="en-US"/>
        </w:rPr>
        <w:t xml:space="preserve">the data retention obligation </w:t>
      </w:r>
      <w:r w:rsidR="001A711E" w:rsidRPr="003450F1">
        <w:rPr>
          <w:rFonts w:ascii="Times New Roman" w:hAnsi="Times New Roman" w:cs="Times New Roman"/>
          <w:bCs/>
          <w:sz w:val="24"/>
          <w:szCs w:val="24"/>
          <w:lang w:val="en-US"/>
        </w:rPr>
        <w:t xml:space="preserve">extends to </w:t>
      </w:r>
      <w:r w:rsidR="001A711E" w:rsidRPr="003450F1">
        <w:rPr>
          <w:rFonts w:ascii="Times New Roman" w:hAnsi="Times New Roman" w:cs="Times New Roman"/>
          <w:bCs/>
          <w:i/>
          <w:sz w:val="24"/>
          <w:szCs w:val="24"/>
          <w:lang w:val="en-US"/>
        </w:rPr>
        <w:t>traffic data</w:t>
      </w:r>
      <w:r w:rsidR="001A711E" w:rsidRPr="003450F1">
        <w:rPr>
          <w:rFonts w:ascii="Times New Roman" w:hAnsi="Times New Roman" w:cs="Times New Roman"/>
          <w:bCs/>
          <w:sz w:val="24"/>
          <w:szCs w:val="24"/>
          <w:lang w:val="en-US"/>
        </w:rPr>
        <w:t xml:space="preserve"> and </w:t>
      </w:r>
      <w:r w:rsidR="00D3525A" w:rsidRPr="003450F1">
        <w:rPr>
          <w:rFonts w:ascii="Times New Roman" w:eastAsiaTheme="minorEastAsia" w:hAnsi="Times New Roman" w:cs="Times New Roman"/>
          <w:i/>
          <w:color w:val="auto"/>
          <w:sz w:val="24"/>
          <w:szCs w:val="24"/>
          <w:bdr w:val="none" w:sz="0" w:space="0" w:color="auto"/>
          <w:lang w:val="en-US" w:eastAsia="nl-NL"/>
        </w:rPr>
        <w:t xml:space="preserve">location </w:t>
      </w:r>
      <w:r w:rsidR="001A711E" w:rsidRPr="003450F1">
        <w:rPr>
          <w:rFonts w:ascii="Times New Roman" w:eastAsiaTheme="minorEastAsia" w:hAnsi="Times New Roman" w:cs="Times New Roman"/>
          <w:i/>
          <w:color w:val="auto"/>
          <w:sz w:val="24"/>
          <w:szCs w:val="24"/>
          <w:bdr w:val="none" w:sz="0" w:space="0" w:color="auto"/>
          <w:lang w:val="en-US" w:eastAsia="nl-NL"/>
        </w:rPr>
        <w:t>data other than traffic data</w:t>
      </w:r>
      <w:r w:rsidR="00DF1AC4" w:rsidRPr="003450F1">
        <w:rPr>
          <w:rFonts w:ascii="Times New Roman" w:eastAsiaTheme="minorEastAsia" w:hAnsi="Times New Roman" w:cs="Times New Roman"/>
          <w:color w:val="auto"/>
          <w:sz w:val="24"/>
          <w:szCs w:val="24"/>
          <w:bdr w:val="none" w:sz="0" w:space="0" w:color="auto"/>
          <w:lang w:val="en-US" w:eastAsia="nl-NL"/>
        </w:rPr>
        <w:t>,</w:t>
      </w:r>
      <w:r w:rsidR="001A711E" w:rsidRPr="003450F1">
        <w:rPr>
          <w:rFonts w:ascii="Times New Roman" w:eastAsiaTheme="minorEastAsia" w:hAnsi="Times New Roman" w:cs="Times New Roman"/>
          <w:color w:val="auto"/>
          <w:sz w:val="24"/>
          <w:szCs w:val="24"/>
          <w:bdr w:val="none" w:sz="0" w:space="0" w:color="auto"/>
          <w:lang w:val="en-US" w:eastAsia="nl-NL"/>
        </w:rPr>
        <w:t xml:space="preserve"> with regar</w:t>
      </w:r>
      <w:r w:rsidRPr="003450F1">
        <w:rPr>
          <w:rFonts w:ascii="Times New Roman" w:eastAsiaTheme="minorEastAsia" w:hAnsi="Times New Roman" w:cs="Times New Roman"/>
          <w:color w:val="auto"/>
          <w:sz w:val="24"/>
          <w:szCs w:val="24"/>
          <w:bdr w:val="none" w:sz="0" w:space="0" w:color="auto"/>
          <w:lang w:val="en-US" w:eastAsia="nl-NL"/>
        </w:rPr>
        <w:t xml:space="preserve">d to </w:t>
      </w:r>
      <w:r w:rsidR="00DF1AC4" w:rsidRPr="003450F1">
        <w:rPr>
          <w:rFonts w:ascii="Times New Roman" w:eastAsiaTheme="minorEastAsia" w:hAnsi="Times New Roman" w:cs="Times New Roman"/>
          <w:color w:val="auto"/>
          <w:sz w:val="24"/>
          <w:szCs w:val="24"/>
          <w:bdr w:val="none" w:sz="0" w:space="0" w:color="auto"/>
          <w:lang w:val="en-US" w:eastAsia="nl-NL"/>
        </w:rPr>
        <w:t xml:space="preserve">both </w:t>
      </w:r>
      <w:r w:rsidRPr="003450F1">
        <w:rPr>
          <w:rFonts w:ascii="Times New Roman" w:eastAsiaTheme="minorEastAsia" w:hAnsi="Times New Roman" w:cs="Times New Roman"/>
          <w:color w:val="auto"/>
          <w:sz w:val="24"/>
          <w:szCs w:val="24"/>
          <w:bdr w:val="none" w:sz="0" w:space="0" w:color="auto"/>
          <w:lang w:val="en-US" w:eastAsia="nl-NL"/>
        </w:rPr>
        <w:t xml:space="preserve">natural and legal persons. </w:t>
      </w:r>
      <w:r w:rsidR="00DF1AC4" w:rsidRPr="003450F1">
        <w:rPr>
          <w:rFonts w:ascii="Times New Roman" w:eastAsiaTheme="minorEastAsia" w:hAnsi="Times New Roman" w:cs="Times New Roman"/>
          <w:color w:val="auto"/>
          <w:sz w:val="24"/>
          <w:szCs w:val="24"/>
          <w:bdr w:val="none" w:sz="0" w:space="0" w:color="auto"/>
          <w:lang w:val="en-US" w:eastAsia="nl-NL"/>
        </w:rPr>
        <w:t xml:space="preserve">By contrast, </w:t>
      </w:r>
      <w:r w:rsidR="001000E6" w:rsidRPr="003450F1">
        <w:rPr>
          <w:rFonts w:ascii="Times New Roman" w:eastAsiaTheme="minorEastAsia" w:hAnsi="Times New Roman" w:cs="Times New Roman"/>
          <w:color w:val="auto"/>
          <w:sz w:val="24"/>
          <w:szCs w:val="24"/>
          <w:bdr w:val="none" w:sz="0" w:space="0" w:color="auto"/>
          <w:lang w:val="en-US" w:eastAsia="nl-NL"/>
        </w:rPr>
        <w:t>the Regulation excludes the retention of</w:t>
      </w:r>
      <w:r w:rsidR="001000E6" w:rsidRPr="003450F1">
        <w:rPr>
          <w:rFonts w:ascii="Times New Roman" w:eastAsiaTheme="minorEastAsia" w:hAnsi="Times New Roman" w:cs="Times New Roman"/>
          <w:i/>
          <w:color w:val="auto"/>
          <w:sz w:val="24"/>
          <w:szCs w:val="24"/>
          <w:bdr w:val="none" w:sz="0" w:space="0" w:color="auto"/>
          <w:lang w:val="en-US" w:eastAsia="nl-NL"/>
        </w:rPr>
        <w:t xml:space="preserve"> </w:t>
      </w:r>
      <w:r w:rsidR="00DF1AC4" w:rsidRPr="003450F1">
        <w:rPr>
          <w:rFonts w:ascii="Times New Roman" w:eastAsiaTheme="minorEastAsia" w:hAnsi="Times New Roman" w:cs="Times New Roman"/>
          <w:i/>
          <w:color w:val="auto"/>
          <w:sz w:val="24"/>
          <w:szCs w:val="24"/>
          <w:bdr w:val="none" w:sz="0" w:space="0" w:color="auto"/>
          <w:lang w:val="en-US" w:eastAsia="nl-NL"/>
        </w:rPr>
        <w:t>content data</w:t>
      </w:r>
      <w:r w:rsidR="00DF1AC4" w:rsidRPr="003450F1">
        <w:rPr>
          <w:rFonts w:ascii="Times New Roman" w:eastAsiaTheme="minorEastAsia" w:hAnsi="Times New Roman" w:cs="Times New Roman"/>
          <w:color w:val="auto"/>
          <w:sz w:val="24"/>
          <w:szCs w:val="24"/>
          <w:bdr w:val="none" w:sz="0" w:space="0" w:color="auto"/>
          <w:lang w:val="en-US" w:eastAsia="nl-NL"/>
        </w:rPr>
        <w:t xml:space="preserve"> relating to electronic communications, and in particular the content data consulted by means of an electronic communications network.</w:t>
      </w:r>
      <w:r w:rsidR="00DF1AC4"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5"/>
      </w:r>
      <w:r w:rsidR="00DF1AC4" w:rsidRPr="003450F1">
        <w:rPr>
          <w:rFonts w:ascii="Times New Roman" w:eastAsiaTheme="minorEastAsia" w:hAnsi="Times New Roman" w:cs="Times New Roman"/>
          <w:color w:val="auto"/>
          <w:sz w:val="24"/>
          <w:szCs w:val="24"/>
          <w:bdr w:val="none" w:sz="0" w:space="0" w:color="auto"/>
          <w:lang w:val="en-US" w:eastAsia="nl-NL"/>
        </w:rPr>
        <w:t xml:space="preserve"> </w:t>
      </w:r>
      <w:r w:rsidR="001000E6" w:rsidRPr="003450F1">
        <w:rPr>
          <w:rFonts w:ascii="Times New Roman" w:eastAsiaTheme="minorEastAsia" w:hAnsi="Times New Roman" w:cs="Times New Roman"/>
          <w:color w:val="auto"/>
          <w:sz w:val="24"/>
          <w:szCs w:val="24"/>
          <w:bdr w:val="none" w:sz="0" w:space="0" w:color="auto"/>
          <w:lang w:val="en-US" w:eastAsia="nl-NL"/>
        </w:rPr>
        <w:t>In this respect, the Regulation corresponds to Article 5 (2) of the 2006 Data Retention Directive. Yet, m</w:t>
      </w:r>
      <w:r w:rsidR="00114F2A" w:rsidRPr="003450F1">
        <w:rPr>
          <w:rFonts w:ascii="Times New Roman" w:eastAsiaTheme="minorEastAsia" w:hAnsi="Times New Roman" w:cs="Times New Roman"/>
          <w:color w:val="auto"/>
          <w:sz w:val="24"/>
          <w:szCs w:val="24"/>
          <w:bdr w:val="none" w:sz="0" w:space="0" w:color="auto"/>
          <w:lang w:val="en-US" w:eastAsia="nl-NL"/>
        </w:rPr>
        <w:t xml:space="preserve">ore surprisingly, </w:t>
      </w:r>
      <w:r w:rsidR="00114F2A" w:rsidRPr="003450F1">
        <w:rPr>
          <w:rFonts w:ascii="Times New Roman" w:eastAsiaTheme="minorEastAsia" w:hAnsi="Times New Roman" w:cs="Times New Roman"/>
          <w:i/>
          <w:color w:val="auto"/>
          <w:sz w:val="24"/>
          <w:szCs w:val="24"/>
          <w:bdr w:val="none" w:sz="0" w:space="0" w:color="auto"/>
          <w:lang w:val="en-US" w:eastAsia="nl-NL"/>
        </w:rPr>
        <w:t>data concerning unconnected calls</w:t>
      </w:r>
      <w:r w:rsidR="00114F2A" w:rsidRPr="003450F1">
        <w:rPr>
          <w:rFonts w:ascii="Times New Roman" w:eastAsiaTheme="minorEastAsia" w:hAnsi="Times New Roman" w:cs="Times New Roman"/>
          <w:color w:val="auto"/>
          <w:sz w:val="24"/>
          <w:szCs w:val="24"/>
          <w:bdr w:val="none" w:sz="0" w:space="0" w:color="auto"/>
          <w:lang w:val="en-US" w:eastAsia="nl-NL"/>
        </w:rPr>
        <w:t xml:space="preserve"> are also explicitly excluded,</w:t>
      </w:r>
      <w:r w:rsidR="00114F2A" w:rsidRPr="003450F1">
        <w:rPr>
          <w:rStyle w:val="Odwoanieprzypisudolnego"/>
          <w:rFonts w:ascii="Times New Roman" w:eastAsiaTheme="minorEastAsia" w:hAnsi="Times New Roman" w:cs="Times New Roman"/>
          <w:color w:val="auto"/>
          <w:sz w:val="24"/>
          <w:szCs w:val="24"/>
          <w:bdr w:val="none" w:sz="0" w:space="0" w:color="auto"/>
          <w:lang w:val="en-US" w:eastAsia="nl-NL"/>
        </w:rPr>
        <w:footnoteReference w:id="46"/>
      </w:r>
      <w:r w:rsidR="00114F2A" w:rsidRPr="003450F1">
        <w:rPr>
          <w:rFonts w:ascii="Times New Roman" w:eastAsiaTheme="minorEastAsia" w:hAnsi="Times New Roman" w:cs="Times New Roman"/>
          <w:color w:val="auto"/>
          <w:sz w:val="24"/>
          <w:szCs w:val="24"/>
          <w:bdr w:val="none" w:sz="0" w:space="0" w:color="auto"/>
          <w:lang w:val="en-US" w:eastAsia="nl-NL"/>
        </w:rPr>
        <w:t xml:space="preserve"> even though this seems to be in contradiction with </w:t>
      </w:r>
      <w:r w:rsidR="00114F2A" w:rsidRPr="003450F1">
        <w:rPr>
          <w:rFonts w:ascii="Times New Roman" w:hAnsi="Times New Roman" w:cs="Times New Roman"/>
          <w:sz w:val="24"/>
          <w:szCs w:val="24"/>
          <w:lang w:val="en-US"/>
        </w:rPr>
        <w:t>the obligation to keep data relating to unsuccessful call attempts as set forth by Articles 5 (1) and 9 (1) of the Law of 30 May 2005, in conformity with Article 3 (2) of the 2006 Data Retention Directive.</w:t>
      </w:r>
    </w:p>
    <w:p w14:paraId="3A70187A" w14:textId="057C4BC1" w:rsidR="001A711E" w:rsidRPr="003450F1" w:rsidRDefault="001000E6" w:rsidP="001A711E">
      <w:pPr>
        <w:pStyle w:val="Hoofdtekst"/>
        <w:spacing w:after="120"/>
        <w:jc w:val="both"/>
        <w:rPr>
          <w:rFonts w:ascii="Times New Roman" w:eastAsiaTheme="minorEastAsia" w:hAnsi="Times New Roman" w:cs="Times New Roman"/>
          <w:color w:val="auto"/>
          <w:sz w:val="24"/>
          <w:szCs w:val="24"/>
          <w:bdr w:val="none" w:sz="0" w:space="0" w:color="auto"/>
          <w:lang w:val="en-US" w:eastAsia="nl-NL"/>
        </w:rPr>
      </w:pPr>
      <w:r w:rsidRPr="003450F1">
        <w:rPr>
          <w:rFonts w:ascii="Times New Roman" w:eastAsiaTheme="minorEastAsia" w:hAnsi="Times New Roman" w:cs="Times New Roman"/>
          <w:color w:val="auto"/>
          <w:sz w:val="24"/>
          <w:szCs w:val="24"/>
          <w:bdr w:val="none" w:sz="0" w:space="0" w:color="auto"/>
          <w:lang w:val="en-US" w:eastAsia="nl-NL"/>
        </w:rPr>
        <w:t xml:space="preserve">With respect to </w:t>
      </w:r>
      <w:r w:rsidRPr="003450F1">
        <w:rPr>
          <w:rFonts w:ascii="Times New Roman" w:eastAsiaTheme="minorEastAsia" w:hAnsi="Times New Roman" w:cs="Times New Roman"/>
          <w:i/>
          <w:color w:val="auto"/>
          <w:sz w:val="24"/>
          <w:szCs w:val="24"/>
          <w:bdr w:val="none" w:sz="0" w:space="0" w:color="auto"/>
          <w:lang w:val="en-US" w:eastAsia="nl-NL"/>
        </w:rPr>
        <w:t>traffic data</w:t>
      </w:r>
      <w:r w:rsidRPr="003450F1">
        <w:rPr>
          <w:rFonts w:ascii="Times New Roman" w:eastAsiaTheme="minorEastAsia" w:hAnsi="Times New Roman" w:cs="Times New Roman"/>
          <w:color w:val="auto"/>
          <w:sz w:val="24"/>
          <w:szCs w:val="24"/>
          <w:bdr w:val="none" w:sz="0" w:space="0" w:color="auto"/>
          <w:lang w:val="en-US" w:eastAsia="nl-NL"/>
        </w:rPr>
        <w:t xml:space="preserve"> and </w:t>
      </w:r>
      <w:r w:rsidRPr="003450F1">
        <w:rPr>
          <w:rFonts w:ascii="Times New Roman" w:eastAsiaTheme="minorEastAsia" w:hAnsi="Times New Roman" w:cs="Times New Roman"/>
          <w:i/>
          <w:color w:val="auto"/>
          <w:sz w:val="24"/>
          <w:szCs w:val="24"/>
          <w:bdr w:val="none" w:sz="0" w:space="0" w:color="auto"/>
          <w:lang w:val="en-US" w:eastAsia="nl-NL"/>
        </w:rPr>
        <w:t>location data other than traffic data</w:t>
      </w:r>
      <w:r w:rsidRPr="003450F1">
        <w:rPr>
          <w:rFonts w:ascii="Times New Roman" w:eastAsiaTheme="minorEastAsia" w:hAnsi="Times New Roman" w:cs="Times New Roman"/>
          <w:color w:val="auto"/>
          <w:sz w:val="24"/>
          <w:szCs w:val="24"/>
          <w:bdr w:val="none" w:sz="0" w:space="0" w:color="auto"/>
          <w:lang w:val="en-US" w:eastAsia="nl-NL"/>
        </w:rPr>
        <w:t xml:space="preserve">, </w:t>
      </w:r>
      <w:r w:rsidR="001A711E" w:rsidRPr="003450F1">
        <w:rPr>
          <w:rFonts w:ascii="Times New Roman" w:eastAsiaTheme="minorEastAsia" w:hAnsi="Times New Roman" w:cs="Times New Roman"/>
          <w:color w:val="auto"/>
          <w:sz w:val="24"/>
          <w:szCs w:val="24"/>
          <w:bdr w:val="none" w:sz="0" w:space="0" w:color="auto"/>
          <w:lang w:val="en-US" w:eastAsia="nl-NL"/>
        </w:rPr>
        <w:t xml:space="preserve">Article 3 of Regulation of 24 July 2010 </w:t>
      </w:r>
      <w:r w:rsidR="001C0442" w:rsidRPr="003450F1">
        <w:rPr>
          <w:rFonts w:ascii="Times New Roman" w:eastAsiaTheme="minorEastAsia" w:hAnsi="Times New Roman" w:cs="Times New Roman"/>
          <w:color w:val="auto"/>
          <w:sz w:val="24"/>
          <w:szCs w:val="24"/>
          <w:bdr w:val="none" w:sz="0" w:space="0" w:color="auto"/>
          <w:lang w:val="en-US" w:eastAsia="nl-NL"/>
        </w:rPr>
        <w:t xml:space="preserve">determines </w:t>
      </w:r>
      <w:r w:rsidRPr="003450F1">
        <w:rPr>
          <w:rFonts w:ascii="Times New Roman" w:eastAsiaTheme="minorEastAsia" w:hAnsi="Times New Roman" w:cs="Times New Roman"/>
          <w:color w:val="auto"/>
          <w:sz w:val="24"/>
          <w:szCs w:val="24"/>
          <w:bdr w:val="none" w:sz="0" w:space="0" w:color="auto"/>
          <w:lang w:val="en-US" w:eastAsia="nl-NL"/>
        </w:rPr>
        <w:t xml:space="preserve">which </w:t>
      </w:r>
      <w:r w:rsidR="003D5DCC" w:rsidRPr="003450F1">
        <w:rPr>
          <w:rFonts w:ascii="Times New Roman" w:eastAsiaTheme="minorEastAsia" w:hAnsi="Times New Roman" w:cs="Times New Roman"/>
          <w:color w:val="auto"/>
          <w:sz w:val="24"/>
          <w:szCs w:val="24"/>
          <w:bdr w:val="none" w:sz="0" w:space="0" w:color="auto"/>
          <w:lang w:val="en-US" w:eastAsia="nl-NL"/>
        </w:rPr>
        <w:t>specific</w:t>
      </w:r>
      <w:r w:rsidRPr="003450F1">
        <w:rPr>
          <w:rFonts w:ascii="Times New Roman" w:eastAsiaTheme="minorEastAsia" w:hAnsi="Times New Roman" w:cs="Times New Roman"/>
          <w:color w:val="auto"/>
          <w:sz w:val="24"/>
          <w:szCs w:val="24"/>
          <w:bdr w:val="none" w:sz="0" w:space="0" w:color="auto"/>
          <w:lang w:val="en-US" w:eastAsia="nl-NL"/>
        </w:rPr>
        <w:t xml:space="preserve"> data are to be kept. This provision is a </w:t>
      </w:r>
      <w:r w:rsidR="00F759D4" w:rsidRPr="003450F1">
        <w:rPr>
          <w:rFonts w:ascii="Times New Roman" w:eastAsiaTheme="minorEastAsia" w:hAnsi="Times New Roman" w:cs="Times New Roman"/>
          <w:color w:val="auto"/>
          <w:sz w:val="24"/>
          <w:szCs w:val="24"/>
          <w:bdr w:val="none" w:sz="0" w:space="0" w:color="auto"/>
          <w:lang w:val="en-US" w:eastAsia="nl-NL"/>
        </w:rPr>
        <w:t xml:space="preserve">mere </w:t>
      </w:r>
      <w:r w:rsidRPr="003450F1">
        <w:rPr>
          <w:rFonts w:ascii="Times New Roman" w:eastAsiaTheme="minorEastAsia" w:hAnsi="Times New Roman" w:cs="Times New Roman"/>
          <w:color w:val="auto"/>
          <w:sz w:val="24"/>
          <w:szCs w:val="24"/>
          <w:bdr w:val="none" w:sz="0" w:space="0" w:color="auto"/>
          <w:lang w:val="en-US" w:eastAsia="nl-NL"/>
        </w:rPr>
        <w:t xml:space="preserve">copy of </w:t>
      </w:r>
      <w:r w:rsidR="00DF6A32" w:rsidRPr="003450F1">
        <w:rPr>
          <w:rFonts w:ascii="Times New Roman" w:eastAsiaTheme="minorEastAsia" w:hAnsi="Times New Roman" w:cs="Times New Roman"/>
          <w:color w:val="auto"/>
          <w:sz w:val="24"/>
          <w:szCs w:val="24"/>
          <w:bdr w:val="none" w:sz="0" w:space="0" w:color="auto"/>
          <w:lang w:val="en-US" w:eastAsia="nl-NL"/>
        </w:rPr>
        <w:t>Article 5</w:t>
      </w:r>
      <w:r w:rsidR="00F759D4" w:rsidRPr="003450F1">
        <w:rPr>
          <w:rFonts w:ascii="Times New Roman" w:eastAsiaTheme="minorEastAsia" w:hAnsi="Times New Roman" w:cs="Times New Roman"/>
          <w:color w:val="auto"/>
          <w:sz w:val="24"/>
          <w:szCs w:val="24"/>
          <w:bdr w:val="none" w:sz="0" w:space="0" w:color="auto"/>
          <w:lang w:val="en-US" w:eastAsia="nl-NL"/>
        </w:rPr>
        <w:t xml:space="preserve"> (1)</w:t>
      </w:r>
      <w:r w:rsidR="00DF6A32" w:rsidRPr="003450F1">
        <w:rPr>
          <w:rFonts w:ascii="Times New Roman" w:eastAsiaTheme="minorEastAsia" w:hAnsi="Times New Roman" w:cs="Times New Roman"/>
          <w:color w:val="auto"/>
          <w:sz w:val="24"/>
          <w:szCs w:val="24"/>
          <w:bdr w:val="none" w:sz="0" w:space="0" w:color="auto"/>
          <w:lang w:val="en-US" w:eastAsia="nl-NL"/>
        </w:rPr>
        <w:t xml:space="preserve"> of the 2006 Data Retention Directive</w:t>
      </w:r>
      <w:r w:rsidRPr="003450F1">
        <w:rPr>
          <w:rFonts w:ascii="Times New Roman" w:eastAsiaTheme="minorEastAsia" w:hAnsi="Times New Roman" w:cs="Times New Roman"/>
          <w:color w:val="auto"/>
          <w:sz w:val="24"/>
          <w:szCs w:val="24"/>
          <w:bdr w:val="none" w:sz="0" w:space="0" w:color="auto"/>
          <w:lang w:val="en-US" w:eastAsia="nl-NL"/>
        </w:rPr>
        <w:t>. Briefly summarized,</w:t>
      </w:r>
      <w:r w:rsidR="00DF6A32" w:rsidRPr="003450F1">
        <w:rPr>
          <w:rFonts w:ascii="Times New Roman" w:eastAsiaTheme="minorEastAsia" w:hAnsi="Times New Roman" w:cs="Times New Roman"/>
          <w:color w:val="auto"/>
          <w:sz w:val="24"/>
          <w:szCs w:val="24"/>
          <w:bdr w:val="none" w:sz="0" w:space="0" w:color="auto"/>
          <w:lang w:val="en-US" w:eastAsia="nl-NL"/>
        </w:rPr>
        <w:t xml:space="preserve"> </w:t>
      </w:r>
      <w:r w:rsidR="00026620" w:rsidRPr="003450F1">
        <w:rPr>
          <w:rFonts w:ascii="Times New Roman" w:eastAsiaTheme="minorEastAsia" w:hAnsi="Times New Roman" w:cs="Times New Roman"/>
          <w:color w:val="auto"/>
          <w:sz w:val="24"/>
          <w:szCs w:val="24"/>
          <w:bdr w:val="none" w:sz="0" w:space="0" w:color="auto"/>
          <w:lang w:val="en-US" w:eastAsia="nl-NL"/>
        </w:rPr>
        <w:t xml:space="preserve">Article 3 of the Regulation covers </w:t>
      </w:r>
      <w:r w:rsidR="001A711E" w:rsidRPr="003450F1">
        <w:rPr>
          <w:rFonts w:ascii="Times New Roman" w:eastAsiaTheme="minorEastAsia" w:hAnsi="Times New Roman" w:cs="Times New Roman"/>
          <w:color w:val="auto"/>
          <w:sz w:val="24"/>
          <w:szCs w:val="24"/>
          <w:bdr w:val="none" w:sz="0" w:space="0" w:color="auto"/>
          <w:lang w:val="en-US" w:eastAsia="nl-NL"/>
        </w:rPr>
        <w:t xml:space="preserve">the following </w:t>
      </w:r>
      <w:r w:rsidR="00DF6A32" w:rsidRPr="003450F1">
        <w:rPr>
          <w:rFonts w:ascii="Times New Roman" w:eastAsiaTheme="minorEastAsia" w:hAnsi="Times New Roman" w:cs="Times New Roman"/>
          <w:color w:val="auto"/>
          <w:sz w:val="24"/>
          <w:szCs w:val="24"/>
          <w:bdr w:val="none" w:sz="0" w:space="0" w:color="auto"/>
          <w:lang w:val="en-US" w:eastAsia="nl-NL"/>
        </w:rPr>
        <w:t xml:space="preserve">categories of </w:t>
      </w:r>
      <w:r w:rsidR="00F759D4" w:rsidRPr="003450F1">
        <w:rPr>
          <w:rFonts w:ascii="Times New Roman" w:eastAsiaTheme="minorEastAsia" w:hAnsi="Times New Roman" w:cs="Times New Roman"/>
          <w:color w:val="auto"/>
          <w:sz w:val="24"/>
          <w:szCs w:val="24"/>
          <w:bdr w:val="none" w:sz="0" w:space="0" w:color="auto"/>
          <w:lang w:val="en-US" w:eastAsia="nl-NL"/>
        </w:rPr>
        <w:t>data</w:t>
      </w:r>
      <w:r w:rsidR="003D5DCC" w:rsidRPr="003450F1">
        <w:rPr>
          <w:rFonts w:ascii="Times New Roman" w:eastAsiaTheme="minorEastAsia" w:hAnsi="Times New Roman" w:cs="Times New Roman"/>
          <w:color w:val="auto"/>
          <w:sz w:val="24"/>
          <w:szCs w:val="24"/>
          <w:bdr w:val="none" w:sz="0" w:space="0" w:color="auto"/>
          <w:lang w:val="en-US" w:eastAsia="nl-NL"/>
        </w:rPr>
        <w:t>:</w:t>
      </w:r>
    </w:p>
    <w:p w14:paraId="7967C733" w14:textId="669AE20E"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3D5DCC" w:rsidRPr="003450F1">
        <w:rPr>
          <w:rFonts w:ascii="Times New Roman" w:eastAsiaTheme="minorEastAsia" w:hAnsi="Times New Roman" w:cs="Times New Roman"/>
          <w:color w:val="auto"/>
          <w:sz w:val="24"/>
          <w:szCs w:val="24"/>
          <w:bdr w:val="none" w:sz="0" w:space="0" w:color="auto"/>
          <w:lang w:val="en-US" w:eastAsia="nl-NL"/>
        </w:rPr>
        <w:t xml:space="preserve">to trace and identify </w:t>
      </w:r>
      <w:r w:rsidRPr="003450F1">
        <w:rPr>
          <w:rFonts w:ascii="Times New Roman" w:eastAsiaTheme="minorEastAsia" w:hAnsi="Times New Roman" w:cs="Times New Roman"/>
          <w:color w:val="auto"/>
          <w:sz w:val="24"/>
          <w:szCs w:val="24"/>
          <w:bdr w:val="none" w:sz="0" w:space="0" w:color="auto"/>
          <w:lang w:val="en-US" w:eastAsia="nl-NL"/>
        </w:rPr>
        <w:t>the source of a communication;</w:t>
      </w:r>
    </w:p>
    <w:p w14:paraId="1D51E94A" w14:textId="5EDF19F6"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3D5DCC" w:rsidRPr="003450F1">
        <w:rPr>
          <w:rFonts w:ascii="Times New Roman" w:eastAsiaTheme="minorEastAsia" w:hAnsi="Times New Roman" w:cs="Times New Roman"/>
          <w:color w:val="auto"/>
          <w:sz w:val="24"/>
          <w:szCs w:val="24"/>
          <w:bdr w:val="none" w:sz="0" w:space="0" w:color="auto"/>
          <w:lang w:val="en-US" w:eastAsia="nl-NL"/>
        </w:rPr>
        <w:t>to identify</w:t>
      </w:r>
      <w:r w:rsidRPr="003450F1">
        <w:rPr>
          <w:rFonts w:ascii="Times New Roman" w:eastAsiaTheme="minorEastAsia" w:hAnsi="Times New Roman" w:cs="Times New Roman"/>
          <w:color w:val="auto"/>
          <w:sz w:val="24"/>
          <w:szCs w:val="24"/>
          <w:bdr w:val="none" w:sz="0" w:space="0" w:color="auto"/>
          <w:lang w:val="en-US" w:eastAsia="nl-NL"/>
        </w:rPr>
        <w:t xml:space="preserve"> the destination of a communication;</w:t>
      </w:r>
    </w:p>
    <w:p w14:paraId="6A6F75CD" w14:textId="2FF3DB45"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3D5DCC" w:rsidRPr="003450F1">
        <w:rPr>
          <w:rFonts w:ascii="Times New Roman" w:eastAsiaTheme="minorEastAsia" w:hAnsi="Times New Roman" w:cs="Times New Roman"/>
          <w:color w:val="auto"/>
          <w:sz w:val="24"/>
          <w:szCs w:val="24"/>
          <w:bdr w:val="none" w:sz="0" w:space="0" w:color="auto"/>
          <w:lang w:val="en-US" w:eastAsia="nl-NL"/>
        </w:rPr>
        <w:t xml:space="preserve">to identify </w:t>
      </w:r>
      <w:r w:rsidRPr="003450F1">
        <w:rPr>
          <w:rFonts w:ascii="Times New Roman" w:eastAsiaTheme="minorEastAsia" w:hAnsi="Times New Roman" w:cs="Times New Roman"/>
          <w:color w:val="auto"/>
          <w:sz w:val="24"/>
          <w:szCs w:val="24"/>
          <w:bdr w:val="none" w:sz="0" w:space="0" w:color="auto"/>
          <w:lang w:val="en-US" w:eastAsia="nl-NL"/>
        </w:rPr>
        <w:t>the date, time and duration of a communication;</w:t>
      </w:r>
    </w:p>
    <w:p w14:paraId="510722F9" w14:textId="392FA4EF"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3D5DCC" w:rsidRPr="003450F1">
        <w:rPr>
          <w:rFonts w:ascii="Times New Roman" w:eastAsiaTheme="minorEastAsia" w:hAnsi="Times New Roman" w:cs="Times New Roman"/>
          <w:color w:val="auto"/>
          <w:sz w:val="24"/>
          <w:szCs w:val="24"/>
          <w:bdr w:val="none" w:sz="0" w:space="0" w:color="auto"/>
          <w:lang w:val="en-US" w:eastAsia="nl-NL"/>
        </w:rPr>
        <w:t xml:space="preserve">to identify </w:t>
      </w:r>
      <w:r w:rsidRPr="003450F1">
        <w:rPr>
          <w:rFonts w:ascii="Times New Roman" w:eastAsiaTheme="minorEastAsia" w:hAnsi="Times New Roman" w:cs="Times New Roman"/>
          <w:color w:val="auto"/>
          <w:sz w:val="24"/>
          <w:szCs w:val="24"/>
          <w:bdr w:val="none" w:sz="0" w:space="0" w:color="auto"/>
          <w:lang w:val="en-US" w:eastAsia="nl-NL"/>
        </w:rPr>
        <w:t xml:space="preserve">the type of </w:t>
      </w:r>
      <w:r w:rsidR="00252BF7" w:rsidRPr="003450F1">
        <w:rPr>
          <w:rFonts w:ascii="Times New Roman" w:eastAsiaTheme="minorEastAsia" w:hAnsi="Times New Roman" w:cs="Times New Roman"/>
          <w:color w:val="auto"/>
          <w:sz w:val="24"/>
          <w:szCs w:val="24"/>
          <w:bdr w:val="none" w:sz="0" w:space="0" w:color="auto"/>
          <w:lang w:val="en-US" w:eastAsia="nl-NL"/>
        </w:rPr>
        <w:t>communication</w:t>
      </w:r>
      <w:r w:rsidRPr="003450F1">
        <w:rPr>
          <w:rFonts w:ascii="Times New Roman" w:eastAsiaTheme="minorEastAsia" w:hAnsi="Times New Roman" w:cs="Times New Roman"/>
          <w:color w:val="auto"/>
          <w:sz w:val="24"/>
          <w:szCs w:val="24"/>
          <w:bdr w:val="none" w:sz="0" w:space="0" w:color="auto"/>
          <w:lang w:val="en-US" w:eastAsia="nl-NL"/>
        </w:rPr>
        <w:t>;</w:t>
      </w:r>
    </w:p>
    <w:p w14:paraId="19D57AB5" w14:textId="73D72782"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252BF7" w:rsidRPr="003450F1">
        <w:rPr>
          <w:rFonts w:ascii="Times New Roman" w:eastAsiaTheme="minorEastAsia" w:hAnsi="Times New Roman" w:cs="Times New Roman"/>
          <w:color w:val="auto"/>
          <w:sz w:val="24"/>
          <w:szCs w:val="24"/>
          <w:bdr w:val="none" w:sz="0" w:space="0" w:color="auto"/>
          <w:lang w:val="en-US" w:eastAsia="nl-NL"/>
        </w:rPr>
        <w:t xml:space="preserve">to identify users’ communication </w:t>
      </w:r>
      <w:r w:rsidRPr="003450F1">
        <w:rPr>
          <w:rFonts w:ascii="Times New Roman" w:eastAsiaTheme="minorEastAsia" w:hAnsi="Times New Roman" w:cs="Times New Roman"/>
          <w:color w:val="auto"/>
          <w:sz w:val="24"/>
          <w:szCs w:val="24"/>
          <w:bdr w:val="none" w:sz="0" w:space="0" w:color="auto"/>
          <w:lang w:val="en-US" w:eastAsia="nl-NL"/>
        </w:rPr>
        <w:t>equipment;</w:t>
      </w:r>
      <w:r w:rsidR="00252BF7" w:rsidRPr="003450F1">
        <w:rPr>
          <w:rFonts w:ascii="Times New Roman" w:eastAsiaTheme="minorEastAsia" w:hAnsi="Times New Roman" w:cs="Times New Roman"/>
          <w:color w:val="auto"/>
          <w:sz w:val="24"/>
          <w:szCs w:val="24"/>
          <w:bdr w:val="none" w:sz="0" w:space="0" w:color="auto"/>
          <w:lang w:val="en-US" w:eastAsia="nl-NL"/>
        </w:rPr>
        <w:t xml:space="preserve"> and</w:t>
      </w:r>
    </w:p>
    <w:p w14:paraId="2DD139D6" w14:textId="20139965" w:rsidR="001A711E" w:rsidRPr="003450F1" w:rsidRDefault="001A711E" w:rsidP="001A711E">
      <w:pPr>
        <w:pStyle w:val="Hoofdtekst"/>
        <w:numPr>
          <w:ilvl w:val="0"/>
          <w:numId w:val="3"/>
        </w:numPr>
        <w:spacing w:after="120"/>
        <w:ind w:firstLine="0"/>
        <w:jc w:val="both"/>
        <w:rPr>
          <w:rFonts w:ascii="Times New Roman" w:hAnsi="Times New Roman" w:cs="Times New Roman"/>
          <w:bCs/>
          <w:sz w:val="24"/>
          <w:szCs w:val="24"/>
          <w:lang w:val="en-US"/>
        </w:rPr>
      </w:pPr>
      <w:r w:rsidRPr="003450F1">
        <w:rPr>
          <w:rFonts w:ascii="Times New Roman" w:eastAsiaTheme="minorEastAsia" w:hAnsi="Times New Roman" w:cs="Times New Roman"/>
          <w:color w:val="auto"/>
          <w:sz w:val="24"/>
          <w:szCs w:val="24"/>
          <w:bdr w:val="none" w:sz="0" w:space="0" w:color="auto"/>
          <w:lang w:val="en-US" w:eastAsia="nl-NL"/>
        </w:rPr>
        <w:t xml:space="preserve">data necessary </w:t>
      </w:r>
      <w:r w:rsidR="00252BF7" w:rsidRPr="003450F1">
        <w:rPr>
          <w:rFonts w:ascii="Times New Roman" w:eastAsiaTheme="minorEastAsia" w:hAnsi="Times New Roman" w:cs="Times New Roman"/>
          <w:color w:val="auto"/>
          <w:sz w:val="24"/>
          <w:szCs w:val="24"/>
          <w:bdr w:val="none" w:sz="0" w:space="0" w:color="auto"/>
          <w:lang w:val="en-US" w:eastAsia="nl-NL"/>
        </w:rPr>
        <w:t xml:space="preserve">to identify </w:t>
      </w:r>
      <w:r w:rsidRPr="003450F1">
        <w:rPr>
          <w:rFonts w:ascii="Times New Roman" w:eastAsiaTheme="minorEastAsia" w:hAnsi="Times New Roman" w:cs="Times New Roman"/>
          <w:color w:val="auto"/>
          <w:sz w:val="24"/>
          <w:szCs w:val="24"/>
          <w:bdr w:val="none" w:sz="0" w:space="0" w:color="auto"/>
          <w:lang w:val="en-US" w:eastAsia="nl-NL"/>
        </w:rPr>
        <w:t xml:space="preserve">the location of the </w:t>
      </w:r>
      <w:r w:rsidR="00252BF7" w:rsidRPr="003450F1">
        <w:rPr>
          <w:rFonts w:ascii="Times New Roman" w:eastAsiaTheme="minorEastAsia" w:hAnsi="Times New Roman" w:cs="Times New Roman"/>
          <w:color w:val="auto"/>
          <w:sz w:val="24"/>
          <w:szCs w:val="24"/>
          <w:bdr w:val="none" w:sz="0" w:space="0" w:color="auto"/>
          <w:lang w:val="en-US" w:eastAsia="nl-NL"/>
        </w:rPr>
        <w:t xml:space="preserve">mobile communication </w:t>
      </w:r>
      <w:r w:rsidRPr="003450F1">
        <w:rPr>
          <w:rFonts w:ascii="Times New Roman" w:eastAsiaTheme="minorEastAsia" w:hAnsi="Times New Roman" w:cs="Times New Roman"/>
          <w:color w:val="auto"/>
          <w:sz w:val="24"/>
          <w:szCs w:val="24"/>
          <w:bdr w:val="none" w:sz="0" w:space="0" w:color="auto"/>
          <w:lang w:val="en-US" w:eastAsia="nl-NL"/>
        </w:rPr>
        <w:t>equipment.</w:t>
      </w:r>
    </w:p>
    <w:p w14:paraId="2E2D7CD0" w14:textId="77777777" w:rsidR="00252BF7" w:rsidRPr="003450F1" w:rsidRDefault="00252BF7" w:rsidP="00252BF7">
      <w:pPr>
        <w:pStyle w:val="Hoofdtekst"/>
        <w:spacing w:after="120"/>
        <w:ind w:left="720"/>
        <w:jc w:val="both"/>
        <w:rPr>
          <w:rFonts w:ascii="Times New Roman" w:hAnsi="Times New Roman" w:cs="Times New Roman"/>
          <w:bCs/>
          <w:sz w:val="24"/>
          <w:szCs w:val="24"/>
          <w:lang w:val="en-US"/>
        </w:rPr>
      </w:pPr>
    </w:p>
    <w:p w14:paraId="4EA4968A" w14:textId="77777777" w:rsidR="001A711E" w:rsidRPr="003450F1" w:rsidRDefault="001A711E" w:rsidP="001A711E">
      <w:pPr>
        <w:pStyle w:val="Hoofdtekst"/>
        <w:spacing w:after="120"/>
        <w:jc w:val="both"/>
        <w:rPr>
          <w:rFonts w:ascii="Times New Roman" w:hAnsi="Times New Roman" w:cs="Times New Roman"/>
          <w:b/>
          <w:color w:val="808080" w:themeColor="background1" w:themeShade="80"/>
          <w:sz w:val="24"/>
          <w:szCs w:val="24"/>
          <w:lang w:val="en-US"/>
        </w:rPr>
      </w:pPr>
      <w:r w:rsidRPr="003450F1">
        <w:rPr>
          <w:rFonts w:ascii="Times New Roman" w:hAnsi="Times New Roman" w:cs="Times New Roman"/>
          <w:b/>
          <w:color w:val="808080" w:themeColor="background1" w:themeShade="80"/>
          <w:sz w:val="24"/>
          <w:szCs w:val="24"/>
          <w:lang w:val="en-US"/>
        </w:rPr>
        <w:t>5. What are the legal regulations enabling law enforcement and judicial authorities to obtain data from IAP, ISP with particular stress on social networking sites?</w:t>
      </w:r>
    </w:p>
    <w:p w14:paraId="1B301722" w14:textId="77777777" w:rsidR="001A711E" w:rsidRPr="003450F1" w:rsidRDefault="001A711E" w:rsidP="001A711E">
      <w:pPr>
        <w:widowControl w:val="0"/>
        <w:autoSpaceDE w:val="0"/>
        <w:autoSpaceDN w:val="0"/>
        <w:adjustRightInd w:val="0"/>
        <w:spacing w:after="120"/>
        <w:jc w:val="both"/>
        <w:rPr>
          <w:color w:val="141215"/>
        </w:rPr>
      </w:pPr>
      <w:r w:rsidRPr="003450F1">
        <w:rPr>
          <w:color w:val="141215"/>
        </w:rPr>
        <w:t>The main regulations in this respect can be found in:</w:t>
      </w:r>
    </w:p>
    <w:p w14:paraId="46448A6B" w14:textId="4E384966" w:rsidR="00E90A8B" w:rsidRPr="003450F1" w:rsidRDefault="00E90A8B" w:rsidP="00E90A8B">
      <w:pPr>
        <w:pStyle w:val="Tekstkomentarza"/>
        <w:numPr>
          <w:ilvl w:val="0"/>
          <w:numId w:val="4"/>
        </w:numPr>
        <w:jc w:val="both"/>
        <w:rPr>
          <w:rFonts w:ascii="Times New Roman" w:hAnsi="Times New Roman" w:cs="Times New Roman"/>
          <w:bCs/>
        </w:rPr>
      </w:pPr>
      <w:r w:rsidRPr="003450F1">
        <w:rPr>
          <w:rFonts w:ascii="Times New Roman" w:hAnsi="Times New Roman" w:cs="Times New Roman"/>
          <w:bCs/>
        </w:rPr>
        <w:t xml:space="preserve">the </w:t>
      </w:r>
      <w:r w:rsidRPr="003450F1">
        <w:rPr>
          <w:rFonts w:ascii="Times New Roman" w:hAnsi="Times New Roman" w:cs="Times New Roman"/>
          <w:bCs/>
          <w:i/>
        </w:rPr>
        <w:t>Law of 2 August 2002</w:t>
      </w:r>
      <w:r w:rsidRPr="003450F1">
        <w:rPr>
          <w:rFonts w:ascii="Times New Roman" w:hAnsi="Times New Roman" w:cs="Times New Roman"/>
          <w:bCs/>
        </w:rPr>
        <w:t xml:space="preserve"> concerning the protection of persons with regard to the processing of personal data,</w:t>
      </w:r>
      <w:r w:rsidR="00CD770A" w:rsidRPr="003450F1">
        <w:rPr>
          <w:rStyle w:val="Odwoanieprzypisudolnego"/>
          <w:rFonts w:ascii="Times New Roman" w:hAnsi="Times New Roman" w:cs="Times New Roman"/>
          <w:bCs/>
        </w:rPr>
        <w:footnoteReference w:id="47"/>
      </w:r>
      <w:r w:rsidRPr="003450F1">
        <w:rPr>
          <w:rFonts w:ascii="Times New Roman" w:hAnsi="Times New Roman" w:cs="Times New Roman"/>
          <w:bCs/>
        </w:rPr>
        <w:t xml:space="preserve"> implementing Directive 95/46/EC. This Law </w:t>
      </w:r>
      <w:r w:rsidR="00CD770A" w:rsidRPr="003450F1">
        <w:rPr>
          <w:rFonts w:ascii="Times New Roman" w:hAnsi="Times New Roman" w:cs="Times New Roman"/>
          <w:bCs/>
        </w:rPr>
        <w:t>creates</w:t>
      </w:r>
      <w:r w:rsidRPr="003450F1">
        <w:rPr>
          <w:rFonts w:ascii="Times New Roman" w:hAnsi="Times New Roman" w:cs="Times New Roman"/>
          <w:bCs/>
        </w:rPr>
        <w:t xml:space="preserve"> the general legal framework for the processing of personal data in Luxembourg and has a broad scope of </w:t>
      </w:r>
      <w:r w:rsidRPr="003450F1">
        <w:rPr>
          <w:rFonts w:ascii="Times New Roman" w:hAnsi="Times New Roman" w:cs="Times New Roman"/>
          <w:bCs/>
        </w:rPr>
        <w:lastRenderedPageBreak/>
        <w:t>application, including also the processing of data for the purpose of detecting and prosecuting criminal offences.</w:t>
      </w:r>
      <w:r w:rsidR="00CD770A" w:rsidRPr="003450F1">
        <w:rPr>
          <w:rStyle w:val="Odwoanieprzypisudolnego"/>
          <w:rFonts w:ascii="Times New Roman" w:hAnsi="Times New Roman" w:cs="Times New Roman"/>
          <w:bCs/>
        </w:rPr>
        <w:footnoteReference w:id="48"/>
      </w:r>
    </w:p>
    <w:p w14:paraId="784AD0EE" w14:textId="0112906D" w:rsidR="001A711E" w:rsidRPr="003450F1" w:rsidRDefault="001A711E" w:rsidP="00CD770A">
      <w:pPr>
        <w:pStyle w:val="Tekstkomentarza"/>
        <w:numPr>
          <w:ilvl w:val="0"/>
          <w:numId w:val="4"/>
        </w:numPr>
        <w:jc w:val="both"/>
        <w:rPr>
          <w:rFonts w:ascii="Times New Roman" w:hAnsi="Times New Roman" w:cs="Times New Roman"/>
          <w:bCs/>
        </w:rPr>
      </w:pPr>
      <w:r w:rsidRPr="003450F1">
        <w:rPr>
          <w:rFonts w:ascii="Times New Roman" w:hAnsi="Times New Roman" w:cs="Times New Roman"/>
        </w:rPr>
        <w:t xml:space="preserve">the </w:t>
      </w:r>
      <w:r w:rsidRPr="003450F1">
        <w:rPr>
          <w:rFonts w:ascii="Times New Roman" w:hAnsi="Times New Roman" w:cs="Times New Roman"/>
          <w:i/>
        </w:rPr>
        <w:t>Law of 30 May 2005</w:t>
      </w:r>
      <w:r w:rsidR="00CD770A" w:rsidRPr="003450F1">
        <w:rPr>
          <w:rFonts w:ascii="Times New Roman" w:hAnsi="Times New Roman" w:cs="Times New Roman"/>
        </w:rPr>
        <w:t xml:space="preserve"> </w:t>
      </w:r>
      <w:r w:rsidR="00CD770A" w:rsidRPr="003450F1">
        <w:rPr>
          <w:rFonts w:ascii="Times New Roman" w:hAnsi="Times New Roman" w:cs="Times New Roman"/>
          <w:bCs/>
        </w:rPr>
        <w:t>concerning the protection of privacy relating to the processing of personal data in the electronic communications sector;</w:t>
      </w:r>
    </w:p>
    <w:p w14:paraId="693E3138" w14:textId="77777777" w:rsidR="001A711E" w:rsidRPr="003450F1" w:rsidRDefault="001A711E" w:rsidP="001A711E">
      <w:pPr>
        <w:pStyle w:val="Tekstkomentarza"/>
        <w:numPr>
          <w:ilvl w:val="0"/>
          <w:numId w:val="4"/>
        </w:numPr>
        <w:jc w:val="both"/>
        <w:rPr>
          <w:rFonts w:ascii="Times New Roman" w:hAnsi="Times New Roman" w:cs="Times New Roman"/>
        </w:rPr>
      </w:pPr>
      <w:r w:rsidRPr="003450F1">
        <w:rPr>
          <w:rFonts w:ascii="Times New Roman" w:hAnsi="Times New Roman" w:cs="Times New Roman"/>
        </w:rPr>
        <w:t xml:space="preserve">the </w:t>
      </w:r>
      <w:r w:rsidRPr="003450F1">
        <w:rPr>
          <w:rFonts w:ascii="Times New Roman" w:hAnsi="Times New Roman" w:cs="Times New Roman"/>
          <w:i/>
        </w:rPr>
        <w:t>Code of criminal procedure</w:t>
      </w:r>
      <w:r w:rsidRPr="003450F1">
        <w:rPr>
          <w:rFonts w:ascii="Times New Roman" w:hAnsi="Times New Roman" w:cs="Times New Roman"/>
        </w:rPr>
        <w:t xml:space="preserve"> (as amended by the Law of 18 July 2014 approving the Budapest Convention);</w:t>
      </w:r>
    </w:p>
    <w:p w14:paraId="11F32DCE" w14:textId="0E9444E7" w:rsidR="001A711E" w:rsidRPr="003450F1" w:rsidRDefault="002F5E1B" w:rsidP="001A711E">
      <w:pPr>
        <w:pStyle w:val="Tekstkomentarza"/>
        <w:numPr>
          <w:ilvl w:val="0"/>
          <w:numId w:val="4"/>
        </w:numPr>
        <w:jc w:val="both"/>
        <w:rPr>
          <w:rFonts w:ascii="Times New Roman" w:hAnsi="Times New Roman" w:cs="Times New Roman"/>
        </w:rPr>
      </w:pPr>
      <w:r w:rsidRPr="003450F1">
        <w:rPr>
          <w:rFonts w:ascii="Times New Roman" w:hAnsi="Times New Roman" w:cs="Times New Roman"/>
          <w:bCs/>
        </w:rPr>
        <w:t xml:space="preserve">the </w:t>
      </w:r>
      <w:r w:rsidR="001A711E" w:rsidRPr="003450F1">
        <w:rPr>
          <w:rFonts w:ascii="Times New Roman" w:hAnsi="Times New Roman" w:cs="Times New Roman"/>
          <w:bCs/>
          <w:i/>
        </w:rPr>
        <w:t xml:space="preserve">Regulation of 1 December </w:t>
      </w:r>
      <w:r w:rsidR="00017ADA" w:rsidRPr="003450F1">
        <w:rPr>
          <w:rFonts w:ascii="Times New Roman" w:hAnsi="Times New Roman" w:cs="Times New Roman"/>
          <w:bCs/>
          <w:i/>
        </w:rPr>
        <w:t>2008</w:t>
      </w:r>
      <w:r w:rsidR="00017ADA" w:rsidRPr="003450F1">
        <w:rPr>
          <w:rFonts w:ascii="Times New Roman" w:hAnsi="Times New Roman" w:cs="Times New Roman"/>
          <w:bCs/>
        </w:rPr>
        <w:t xml:space="preserve"> on technical specifi</w:t>
      </w:r>
      <w:r w:rsidR="001A711E" w:rsidRPr="003450F1">
        <w:rPr>
          <w:rFonts w:ascii="Times New Roman" w:hAnsi="Times New Roman" w:cs="Times New Roman"/>
          <w:bCs/>
        </w:rPr>
        <w:t>c</w:t>
      </w:r>
      <w:r w:rsidR="00017ADA" w:rsidRPr="003450F1">
        <w:rPr>
          <w:rFonts w:ascii="Times New Roman" w:hAnsi="Times New Roman" w:cs="Times New Roman"/>
          <w:bCs/>
        </w:rPr>
        <w:t>a</w:t>
      </w:r>
      <w:r w:rsidR="001A711E" w:rsidRPr="003450F1">
        <w:rPr>
          <w:rFonts w:ascii="Times New Roman" w:hAnsi="Times New Roman" w:cs="Times New Roman"/>
          <w:bCs/>
        </w:rPr>
        <w:t xml:space="preserve">tions for the interception of electronic communications, </w:t>
      </w:r>
      <w:r w:rsidR="008C2A70" w:rsidRPr="003450F1">
        <w:rPr>
          <w:rFonts w:ascii="Times New Roman" w:hAnsi="Times New Roman" w:cs="Times New Roman"/>
          <w:bCs/>
        </w:rPr>
        <w:t>enacted</w:t>
      </w:r>
      <w:r w:rsidR="001A711E" w:rsidRPr="003450F1">
        <w:rPr>
          <w:rFonts w:ascii="Times New Roman" w:hAnsi="Times New Roman" w:cs="Times New Roman"/>
          <w:bCs/>
        </w:rPr>
        <w:t xml:space="preserve"> on the basis of </w:t>
      </w:r>
      <w:r w:rsidR="001A711E" w:rsidRPr="003450F1">
        <w:rPr>
          <w:rFonts w:ascii="Times New Roman" w:hAnsi="Times New Roman" w:cs="Times New Roman"/>
          <w:bCs/>
          <w:i/>
        </w:rPr>
        <w:t xml:space="preserve">inter alia </w:t>
      </w:r>
      <w:r w:rsidR="00CD770A" w:rsidRPr="003450F1">
        <w:rPr>
          <w:rFonts w:ascii="Times New Roman" w:hAnsi="Times New Roman" w:cs="Times New Roman"/>
          <w:bCs/>
        </w:rPr>
        <w:t>the Law of 2 August 2002 and the L</w:t>
      </w:r>
      <w:r w:rsidR="001A711E" w:rsidRPr="003450F1">
        <w:rPr>
          <w:rFonts w:ascii="Times New Roman" w:hAnsi="Times New Roman" w:cs="Times New Roman"/>
          <w:bCs/>
        </w:rPr>
        <w:t>aw of 30 May 2005;</w:t>
      </w:r>
      <w:r w:rsidR="001A711E" w:rsidRPr="003450F1">
        <w:rPr>
          <w:rStyle w:val="Odwoanieprzypisudolnego"/>
          <w:rFonts w:ascii="Times New Roman" w:hAnsi="Times New Roman" w:cs="Times New Roman"/>
          <w:bCs/>
        </w:rPr>
        <w:footnoteReference w:id="49"/>
      </w:r>
    </w:p>
    <w:p w14:paraId="3930E000" w14:textId="3D4DB045" w:rsidR="001A711E" w:rsidRPr="003450F1" w:rsidRDefault="002F5E1B" w:rsidP="001A711E">
      <w:pPr>
        <w:pStyle w:val="Hoofdtekst"/>
        <w:numPr>
          <w:ilvl w:val="0"/>
          <w:numId w:val="4"/>
        </w:numPr>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 xml:space="preserve">the </w:t>
      </w:r>
      <w:r w:rsidR="001A711E" w:rsidRPr="003450F1">
        <w:rPr>
          <w:rFonts w:ascii="Times New Roman" w:hAnsi="Times New Roman" w:cs="Times New Roman"/>
          <w:bCs/>
          <w:i/>
          <w:sz w:val="24"/>
          <w:szCs w:val="24"/>
          <w:lang w:val="en-US"/>
        </w:rPr>
        <w:t>Regulation of 21 December 2004</w:t>
      </w:r>
      <w:r w:rsidR="001A711E" w:rsidRPr="003450F1">
        <w:rPr>
          <w:rFonts w:ascii="Times New Roman" w:hAnsi="Times New Roman" w:cs="Times New Roman"/>
          <w:bCs/>
          <w:sz w:val="24"/>
          <w:szCs w:val="24"/>
          <w:lang w:val="en-US"/>
        </w:rPr>
        <w:t xml:space="preserve"> determining the services of electronic communications and the </w:t>
      </w:r>
      <w:r w:rsidR="008C2A70" w:rsidRPr="003450F1">
        <w:rPr>
          <w:rFonts w:ascii="Times New Roman" w:hAnsi="Times New Roman" w:cs="Times New Roman"/>
          <w:bCs/>
          <w:sz w:val="24"/>
          <w:szCs w:val="24"/>
          <w:lang w:val="en-US"/>
        </w:rPr>
        <w:t>postal</w:t>
      </w:r>
      <w:r w:rsidR="001A711E" w:rsidRPr="003450F1">
        <w:rPr>
          <w:rFonts w:ascii="Times New Roman" w:hAnsi="Times New Roman" w:cs="Times New Roman"/>
          <w:bCs/>
          <w:sz w:val="24"/>
          <w:szCs w:val="24"/>
          <w:lang w:val="en-US"/>
        </w:rPr>
        <w:t xml:space="preserve"> services, as well as the </w:t>
      </w:r>
      <w:r w:rsidR="008C2A70" w:rsidRPr="003450F1">
        <w:rPr>
          <w:rFonts w:ascii="Times New Roman" w:hAnsi="Times New Roman" w:cs="Times New Roman"/>
          <w:bCs/>
          <w:sz w:val="24"/>
          <w:szCs w:val="24"/>
          <w:lang w:val="en-US"/>
        </w:rPr>
        <w:t>nature, the format and the modalities</w:t>
      </w:r>
      <w:r w:rsidR="001A711E" w:rsidRPr="003450F1">
        <w:rPr>
          <w:rFonts w:ascii="Times New Roman" w:hAnsi="Times New Roman" w:cs="Times New Roman"/>
          <w:bCs/>
          <w:sz w:val="24"/>
          <w:szCs w:val="24"/>
          <w:lang w:val="en-US"/>
        </w:rPr>
        <w:t xml:space="preserve"> of making available data, </w:t>
      </w:r>
      <w:r w:rsidR="008C2A70" w:rsidRPr="003450F1">
        <w:rPr>
          <w:rFonts w:ascii="Times New Roman" w:hAnsi="Times New Roman" w:cs="Times New Roman"/>
          <w:bCs/>
          <w:sz w:val="24"/>
          <w:szCs w:val="24"/>
          <w:lang w:val="en-US"/>
        </w:rPr>
        <w:t>enacted</w:t>
      </w:r>
      <w:r w:rsidR="001A711E" w:rsidRPr="003450F1">
        <w:rPr>
          <w:rFonts w:ascii="Times New Roman" w:hAnsi="Times New Roman" w:cs="Times New Roman"/>
          <w:bCs/>
          <w:sz w:val="24"/>
          <w:szCs w:val="24"/>
          <w:lang w:val="en-US"/>
        </w:rPr>
        <w:t xml:space="preserve"> on the basis of </w:t>
      </w:r>
      <w:r w:rsidR="001A711E" w:rsidRPr="003450F1">
        <w:rPr>
          <w:rFonts w:ascii="Times New Roman" w:hAnsi="Times New Roman" w:cs="Times New Roman"/>
          <w:bCs/>
          <w:i/>
          <w:sz w:val="24"/>
          <w:szCs w:val="24"/>
          <w:lang w:val="en-US"/>
        </w:rPr>
        <w:t>inter alia</w:t>
      </w:r>
      <w:r w:rsidR="00CD770A" w:rsidRPr="003450F1">
        <w:rPr>
          <w:rFonts w:ascii="Times New Roman" w:hAnsi="Times New Roman" w:cs="Times New Roman"/>
          <w:bCs/>
          <w:sz w:val="24"/>
          <w:szCs w:val="24"/>
          <w:lang w:val="en-US"/>
        </w:rPr>
        <w:t xml:space="preserve"> the L</w:t>
      </w:r>
      <w:r w:rsidR="001A711E" w:rsidRPr="003450F1">
        <w:rPr>
          <w:rFonts w:ascii="Times New Roman" w:hAnsi="Times New Roman" w:cs="Times New Roman"/>
          <w:bCs/>
          <w:sz w:val="24"/>
          <w:szCs w:val="24"/>
          <w:lang w:val="en-US"/>
        </w:rPr>
        <w:t>aw of 2 August 2002.</w:t>
      </w:r>
      <w:r w:rsidR="001A711E" w:rsidRPr="003450F1">
        <w:rPr>
          <w:rStyle w:val="Odwoanieprzypisudolnego"/>
          <w:rFonts w:ascii="Times New Roman" w:hAnsi="Times New Roman" w:cs="Times New Roman"/>
          <w:bCs/>
          <w:sz w:val="24"/>
          <w:szCs w:val="24"/>
          <w:lang w:val="en-US"/>
        </w:rPr>
        <w:footnoteReference w:id="50"/>
      </w:r>
    </w:p>
    <w:p w14:paraId="1F4B3B4C" w14:textId="77777777" w:rsidR="002F5E1B" w:rsidRPr="003450F1" w:rsidRDefault="002F5E1B" w:rsidP="002F5E1B">
      <w:pPr>
        <w:pStyle w:val="Hoofdtekst"/>
        <w:jc w:val="both"/>
        <w:rPr>
          <w:rFonts w:ascii="Times New Roman" w:hAnsi="Times New Roman" w:cs="Times New Roman"/>
          <w:bCs/>
          <w:sz w:val="24"/>
          <w:szCs w:val="24"/>
          <w:lang w:val="en-US"/>
        </w:rPr>
      </w:pPr>
    </w:p>
    <w:p w14:paraId="230E2144" w14:textId="77777777" w:rsidR="001A711E" w:rsidRPr="003450F1" w:rsidRDefault="001A711E" w:rsidP="001A711E">
      <w:pPr>
        <w:widowControl w:val="0"/>
        <w:autoSpaceDE w:val="0"/>
        <w:autoSpaceDN w:val="0"/>
        <w:adjustRightInd w:val="0"/>
        <w:spacing w:after="120"/>
        <w:jc w:val="both"/>
        <w:rPr>
          <w:color w:val="141215"/>
        </w:rPr>
      </w:pPr>
      <w:r w:rsidRPr="003450F1">
        <w:rPr>
          <w:color w:val="141215"/>
        </w:rPr>
        <w:t>The content of these regulations will be discussed below, under question 6.</w:t>
      </w:r>
    </w:p>
    <w:p w14:paraId="72EFB3C6" w14:textId="77777777" w:rsidR="00DB3026" w:rsidRPr="003450F1" w:rsidRDefault="00DB3026" w:rsidP="001A711E">
      <w:pPr>
        <w:widowControl w:val="0"/>
        <w:autoSpaceDE w:val="0"/>
        <w:autoSpaceDN w:val="0"/>
        <w:adjustRightInd w:val="0"/>
        <w:spacing w:after="120"/>
        <w:jc w:val="both"/>
        <w:rPr>
          <w:color w:val="141215"/>
        </w:rPr>
      </w:pPr>
    </w:p>
    <w:p w14:paraId="701EE932" w14:textId="2C2C304D" w:rsidR="001A711E" w:rsidRPr="003450F1" w:rsidRDefault="001A711E" w:rsidP="001A711E">
      <w:pPr>
        <w:pStyle w:val="Hoofdtekst"/>
        <w:spacing w:after="120"/>
        <w:jc w:val="both"/>
        <w:rPr>
          <w:rFonts w:ascii="Times New Roman" w:hAnsi="Times New Roman" w:cs="Times New Roman"/>
          <w:b/>
          <w:color w:val="808080" w:themeColor="background1" w:themeShade="80"/>
          <w:sz w:val="24"/>
          <w:szCs w:val="24"/>
          <w:lang w:val="en-US"/>
        </w:rPr>
      </w:pPr>
      <w:r w:rsidRPr="003450F1">
        <w:rPr>
          <w:rFonts w:ascii="Times New Roman" w:hAnsi="Times New Roman" w:cs="Times New Roman"/>
          <w:b/>
          <w:color w:val="808080" w:themeColor="background1" w:themeShade="80"/>
          <w:sz w:val="24"/>
          <w:szCs w:val="24"/>
          <w:lang w:val="en-US"/>
        </w:rPr>
        <w:t>6. What are the legal requirements for an access to traffic data, stored content (e</w:t>
      </w:r>
      <w:r w:rsidR="000D4A05" w:rsidRPr="003450F1">
        <w:rPr>
          <w:rFonts w:ascii="Times New Roman" w:hAnsi="Times New Roman" w:cs="Times New Roman"/>
          <w:b/>
          <w:color w:val="808080" w:themeColor="background1" w:themeShade="80"/>
          <w:sz w:val="24"/>
          <w:szCs w:val="24"/>
          <w:lang w:val="en-US"/>
        </w:rPr>
        <w:t>.</w:t>
      </w:r>
      <w:r w:rsidRPr="003450F1">
        <w:rPr>
          <w:rFonts w:ascii="Times New Roman" w:hAnsi="Times New Roman" w:cs="Times New Roman"/>
          <w:b/>
          <w:color w:val="808080" w:themeColor="background1" w:themeShade="80"/>
          <w:sz w:val="24"/>
          <w:szCs w:val="24"/>
          <w:lang w:val="en-US"/>
        </w:rPr>
        <w:t>g. e-mail message) and subscriber’s data by LE/judicial authorit</w:t>
      </w:r>
      <w:r w:rsidR="000D4A05" w:rsidRPr="003450F1">
        <w:rPr>
          <w:rFonts w:ascii="Times New Roman" w:hAnsi="Times New Roman" w:cs="Times New Roman"/>
          <w:b/>
          <w:color w:val="808080" w:themeColor="background1" w:themeShade="80"/>
          <w:sz w:val="24"/>
          <w:szCs w:val="24"/>
          <w:lang w:val="en-US"/>
        </w:rPr>
        <w:t>i</w:t>
      </w:r>
      <w:r w:rsidRPr="003450F1">
        <w:rPr>
          <w:rFonts w:ascii="Times New Roman" w:hAnsi="Times New Roman" w:cs="Times New Roman"/>
          <w:b/>
          <w:color w:val="808080" w:themeColor="background1" w:themeShade="80"/>
          <w:sz w:val="24"/>
          <w:szCs w:val="24"/>
          <w:lang w:val="en-US"/>
        </w:rPr>
        <w:t>es from ISPs ?</w:t>
      </w:r>
    </w:p>
    <w:p w14:paraId="20378D8F" w14:textId="6B43A711" w:rsidR="000D4A05" w:rsidRPr="003450F1" w:rsidRDefault="000D4A05" w:rsidP="001A711E">
      <w:pPr>
        <w:pStyle w:val="Hoofdtekst"/>
        <w:spacing w:after="120"/>
        <w:jc w:val="both"/>
        <w:rPr>
          <w:rFonts w:ascii="Times New Roman" w:hAnsi="Times New Roman" w:cs="Times New Roman"/>
          <w:b/>
          <w:sz w:val="24"/>
          <w:szCs w:val="24"/>
          <w:lang w:val="en-US"/>
        </w:rPr>
      </w:pPr>
      <w:r w:rsidRPr="003450F1">
        <w:rPr>
          <w:rFonts w:ascii="Times New Roman" w:hAnsi="Times New Roman" w:cs="Times New Roman"/>
          <w:b/>
          <w:sz w:val="24"/>
          <w:szCs w:val="24"/>
          <w:lang w:val="en-US"/>
        </w:rPr>
        <w:t>Confidentiality of communications</w:t>
      </w:r>
    </w:p>
    <w:p w14:paraId="6CE5058B" w14:textId="7EFAC4D9"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 starting point for any access to subscriber data, traffic data or content (whether stored or in the course of transmission) is the </w:t>
      </w:r>
      <w:r w:rsidRPr="003450F1">
        <w:rPr>
          <w:rFonts w:ascii="Times New Roman" w:hAnsi="Times New Roman" w:cs="Times New Roman"/>
          <w:i/>
          <w:sz w:val="24"/>
          <w:szCs w:val="24"/>
          <w:lang w:val="en-US"/>
        </w:rPr>
        <w:t>principle of confidentiality of all communications</w:t>
      </w:r>
      <w:r w:rsidRPr="003450F1">
        <w:rPr>
          <w:rFonts w:ascii="Times New Roman" w:hAnsi="Times New Roman" w:cs="Times New Roman"/>
          <w:sz w:val="24"/>
          <w:szCs w:val="24"/>
          <w:lang w:val="en-US"/>
        </w:rPr>
        <w:t xml:space="preserve">. </w:t>
      </w:r>
      <w:r w:rsidR="002229A0" w:rsidRPr="003450F1">
        <w:rPr>
          <w:rFonts w:ascii="Times New Roman" w:hAnsi="Times New Roman" w:cs="Times New Roman"/>
          <w:sz w:val="24"/>
          <w:szCs w:val="24"/>
          <w:lang w:val="en-US"/>
        </w:rPr>
        <w:t>In addition to Article 28 of the Constitution</w:t>
      </w:r>
      <w:r w:rsidR="0093338D" w:rsidRPr="003450F1">
        <w:rPr>
          <w:rFonts w:ascii="Times New Roman" w:hAnsi="Times New Roman" w:cs="Times New Roman"/>
          <w:sz w:val="24"/>
          <w:szCs w:val="24"/>
          <w:lang w:val="en-US"/>
        </w:rPr>
        <w:t>,</w:t>
      </w:r>
      <w:r w:rsidR="002229A0" w:rsidRPr="003450F1">
        <w:rPr>
          <w:rFonts w:ascii="Times New Roman" w:hAnsi="Times New Roman" w:cs="Times New Roman"/>
          <w:sz w:val="24"/>
          <w:szCs w:val="24"/>
          <w:lang w:val="en-US"/>
        </w:rPr>
        <w:t xml:space="preserve"> which protects the traditional secrecy of communications by poste or </w:t>
      </w:r>
      <w:proofErr w:type="spellStart"/>
      <w:r w:rsidR="002229A0" w:rsidRPr="003450F1">
        <w:rPr>
          <w:rFonts w:ascii="Times New Roman" w:hAnsi="Times New Roman" w:cs="Times New Roman"/>
          <w:sz w:val="24"/>
          <w:szCs w:val="24"/>
          <w:lang w:val="en-US"/>
        </w:rPr>
        <w:t>telegrammes</w:t>
      </w:r>
      <w:proofErr w:type="spellEnd"/>
      <w:r w:rsidR="002229A0"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 xml:space="preserve">Article 4 </w:t>
      </w:r>
      <w:r w:rsidR="0093338D" w:rsidRPr="003450F1">
        <w:rPr>
          <w:rFonts w:ascii="Times New Roman" w:hAnsi="Times New Roman" w:cs="Times New Roman"/>
          <w:sz w:val="24"/>
          <w:szCs w:val="24"/>
          <w:lang w:val="en-US"/>
        </w:rPr>
        <w:t xml:space="preserve">of the </w:t>
      </w:r>
      <w:r w:rsidRPr="003450F1">
        <w:rPr>
          <w:rFonts w:ascii="Times New Roman" w:hAnsi="Times New Roman" w:cs="Times New Roman"/>
          <w:sz w:val="24"/>
          <w:szCs w:val="24"/>
          <w:lang w:val="en-US"/>
        </w:rPr>
        <w:t>Law of 30 May 2005</w:t>
      </w:r>
      <w:r w:rsidR="002229A0" w:rsidRPr="003450F1">
        <w:rPr>
          <w:rFonts w:ascii="Times New Roman" w:hAnsi="Times New Roman" w:cs="Times New Roman"/>
          <w:sz w:val="24"/>
          <w:szCs w:val="24"/>
          <w:lang w:val="en-US"/>
        </w:rPr>
        <w:t xml:space="preserve"> guarantees the confidentiality of communications for which a public network or </w:t>
      </w:r>
      <w:r w:rsidR="006453D0" w:rsidRPr="003450F1">
        <w:rPr>
          <w:rFonts w:ascii="Times New Roman" w:hAnsi="Times New Roman" w:cs="Times New Roman"/>
          <w:sz w:val="24"/>
          <w:szCs w:val="24"/>
          <w:lang w:val="en-US"/>
        </w:rPr>
        <w:t>electron</w:t>
      </w:r>
      <w:r w:rsidR="00D51C2F" w:rsidRPr="003450F1">
        <w:rPr>
          <w:rFonts w:ascii="Times New Roman" w:hAnsi="Times New Roman" w:cs="Times New Roman"/>
          <w:sz w:val="24"/>
          <w:szCs w:val="24"/>
          <w:lang w:val="en-US"/>
        </w:rPr>
        <w:t xml:space="preserve">ic communications </w:t>
      </w:r>
      <w:r w:rsidR="002229A0" w:rsidRPr="003450F1">
        <w:rPr>
          <w:rFonts w:ascii="Times New Roman" w:hAnsi="Times New Roman" w:cs="Times New Roman"/>
          <w:sz w:val="24"/>
          <w:szCs w:val="24"/>
          <w:lang w:val="en-US"/>
        </w:rPr>
        <w:t>service is used</w:t>
      </w:r>
      <w:r w:rsidRPr="003450F1">
        <w:rPr>
          <w:rFonts w:ascii="Times New Roman" w:hAnsi="Times New Roman" w:cs="Times New Roman"/>
          <w:sz w:val="24"/>
          <w:szCs w:val="24"/>
          <w:lang w:val="en-US"/>
        </w:rPr>
        <w:t>:</w:t>
      </w:r>
      <w:r w:rsidR="00006B7E" w:rsidRPr="003450F1">
        <w:rPr>
          <w:rStyle w:val="Odwoanieprzypisudolnego"/>
          <w:rFonts w:ascii="Times New Roman" w:hAnsi="Times New Roman" w:cs="Times New Roman"/>
          <w:sz w:val="24"/>
          <w:szCs w:val="24"/>
          <w:lang w:val="en-US"/>
        </w:rPr>
        <w:footnoteReference w:id="51"/>
      </w:r>
    </w:p>
    <w:p w14:paraId="2912925E" w14:textId="4C7EB8D5" w:rsidR="001A711E" w:rsidRPr="003450F1" w:rsidRDefault="00017ADA" w:rsidP="002229A0">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 xml:space="preserve">1. </w:t>
      </w:r>
      <w:r w:rsidR="00181936" w:rsidRPr="003450F1">
        <w:rPr>
          <w:rFonts w:ascii="Times New Roman" w:hAnsi="Times New Roman" w:cs="Times New Roman"/>
          <w:sz w:val="24"/>
          <w:szCs w:val="24"/>
          <w:lang w:val="en-US"/>
        </w:rPr>
        <w:t xml:space="preserve">Every service </w:t>
      </w:r>
      <w:r w:rsidR="001A711E" w:rsidRPr="003450F1">
        <w:rPr>
          <w:rFonts w:ascii="Times New Roman" w:hAnsi="Times New Roman" w:cs="Times New Roman"/>
          <w:sz w:val="24"/>
          <w:szCs w:val="24"/>
          <w:lang w:val="en-US"/>
        </w:rPr>
        <w:t xml:space="preserve">provider operator </w:t>
      </w:r>
      <w:r w:rsidR="00072EA1" w:rsidRPr="003450F1">
        <w:rPr>
          <w:rFonts w:ascii="Times New Roman" w:hAnsi="Times New Roman" w:cs="Times New Roman"/>
          <w:sz w:val="24"/>
          <w:szCs w:val="24"/>
          <w:lang w:val="en-US"/>
        </w:rPr>
        <w:t xml:space="preserve">shall </w:t>
      </w:r>
      <w:r w:rsidR="001A711E" w:rsidRPr="003450F1">
        <w:rPr>
          <w:rFonts w:ascii="Times New Roman" w:hAnsi="Times New Roman" w:cs="Times New Roman"/>
          <w:sz w:val="24"/>
          <w:szCs w:val="24"/>
          <w:lang w:val="en-US"/>
        </w:rPr>
        <w:t xml:space="preserve">guarantee the confidentiality of </w:t>
      </w:r>
      <w:r w:rsidR="001A711E" w:rsidRPr="003450F1">
        <w:rPr>
          <w:rFonts w:ascii="Times New Roman" w:hAnsi="Times New Roman" w:cs="Times New Roman"/>
          <w:i/>
          <w:sz w:val="24"/>
          <w:szCs w:val="24"/>
          <w:lang w:val="en-US"/>
        </w:rPr>
        <w:t xml:space="preserve">communications conducted </w:t>
      </w:r>
      <w:r w:rsidR="00072EA1" w:rsidRPr="003450F1">
        <w:rPr>
          <w:rFonts w:ascii="Times New Roman" w:hAnsi="Times New Roman" w:cs="Times New Roman"/>
          <w:i/>
          <w:sz w:val="24"/>
          <w:szCs w:val="24"/>
          <w:lang w:val="en-US"/>
        </w:rPr>
        <w:t xml:space="preserve">by means of </w:t>
      </w:r>
      <w:r w:rsidR="001A711E" w:rsidRPr="003450F1">
        <w:rPr>
          <w:rFonts w:ascii="Times New Roman" w:hAnsi="Times New Roman" w:cs="Times New Roman"/>
          <w:i/>
          <w:sz w:val="24"/>
          <w:szCs w:val="24"/>
          <w:lang w:val="en-US"/>
        </w:rPr>
        <w:t xml:space="preserve">a public communications network and </w:t>
      </w:r>
      <w:r w:rsidR="006453D0" w:rsidRPr="003450F1">
        <w:rPr>
          <w:rFonts w:ascii="Times New Roman" w:hAnsi="Times New Roman" w:cs="Times New Roman"/>
          <w:i/>
          <w:sz w:val="24"/>
          <w:szCs w:val="24"/>
          <w:lang w:val="en-US"/>
        </w:rPr>
        <w:t xml:space="preserve">publicly available </w:t>
      </w:r>
      <w:r w:rsidR="001A711E" w:rsidRPr="003450F1">
        <w:rPr>
          <w:rFonts w:ascii="Times New Roman" w:hAnsi="Times New Roman" w:cs="Times New Roman"/>
          <w:i/>
          <w:sz w:val="24"/>
          <w:szCs w:val="24"/>
          <w:lang w:val="en-US"/>
        </w:rPr>
        <w:t>electronic communications services</w:t>
      </w:r>
      <w:r w:rsidR="001A711E" w:rsidRPr="003450F1">
        <w:rPr>
          <w:rFonts w:ascii="Times New Roman" w:hAnsi="Times New Roman" w:cs="Times New Roman"/>
          <w:sz w:val="24"/>
          <w:szCs w:val="24"/>
          <w:lang w:val="en-US"/>
        </w:rPr>
        <w:t xml:space="preserve">, </w:t>
      </w:r>
      <w:r w:rsidR="001A711E" w:rsidRPr="003450F1">
        <w:rPr>
          <w:rFonts w:ascii="Times New Roman" w:hAnsi="Times New Roman" w:cs="Times New Roman"/>
          <w:i/>
          <w:sz w:val="24"/>
          <w:szCs w:val="24"/>
          <w:lang w:val="en-US"/>
        </w:rPr>
        <w:t>as well as the confidential</w:t>
      </w:r>
      <w:r w:rsidRPr="003450F1">
        <w:rPr>
          <w:rFonts w:ascii="Times New Roman" w:hAnsi="Times New Roman" w:cs="Times New Roman"/>
          <w:i/>
          <w:sz w:val="24"/>
          <w:szCs w:val="24"/>
          <w:lang w:val="en-US"/>
        </w:rPr>
        <w:t>i</w:t>
      </w:r>
      <w:r w:rsidR="001A711E" w:rsidRPr="003450F1">
        <w:rPr>
          <w:rFonts w:ascii="Times New Roman" w:hAnsi="Times New Roman" w:cs="Times New Roman"/>
          <w:i/>
          <w:sz w:val="24"/>
          <w:szCs w:val="24"/>
          <w:lang w:val="en-US"/>
        </w:rPr>
        <w:t xml:space="preserve">ty of </w:t>
      </w:r>
      <w:r w:rsidR="008F53D2" w:rsidRPr="003450F1">
        <w:rPr>
          <w:rFonts w:ascii="Times New Roman" w:hAnsi="Times New Roman" w:cs="Times New Roman"/>
          <w:i/>
          <w:sz w:val="24"/>
          <w:szCs w:val="24"/>
          <w:lang w:val="en-US"/>
        </w:rPr>
        <w:t xml:space="preserve">the </w:t>
      </w:r>
      <w:r w:rsidR="00373031" w:rsidRPr="003450F1">
        <w:rPr>
          <w:rFonts w:ascii="Times New Roman" w:hAnsi="Times New Roman" w:cs="Times New Roman"/>
          <w:i/>
          <w:sz w:val="24"/>
          <w:szCs w:val="24"/>
          <w:lang w:val="en-US"/>
        </w:rPr>
        <w:t xml:space="preserve">traffic </w:t>
      </w:r>
      <w:r w:rsidR="001A711E" w:rsidRPr="003450F1">
        <w:rPr>
          <w:rFonts w:ascii="Times New Roman" w:hAnsi="Times New Roman" w:cs="Times New Roman"/>
          <w:i/>
          <w:sz w:val="24"/>
          <w:szCs w:val="24"/>
          <w:lang w:val="en-US"/>
        </w:rPr>
        <w:t xml:space="preserve">data </w:t>
      </w:r>
      <w:r w:rsidR="00F16901" w:rsidRPr="003450F1">
        <w:rPr>
          <w:rFonts w:ascii="Times New Roman" w:hAnsi="Times New Roman" w:cs="Times New Roman"/>
          <w:i/>
          <w:sz w:val="24"/>
          <w:szCs w:val="24"/>
          <w:lang w:val="en-US"/>
        </w:rPr>
        <w:t>relat</w:t>
      </w:r>
      <w:r w:rsidR="00072EA1" w:rsidRPr="003450F1">
        <w:rPr>
          <w:rFonts w:ascii="Times New Roman" w:hAnsi="Times New Roman" w:cs="Times New Roman"/>
          <w:i/>
          <w:sz w:val="24"/>
          <w:szCs w:val="24"/>
          <w:lang w:val="en-US"/>
        </w:rPr>
        <w:t>ing</w:t>
      </w:r>
      <w:r w:rsidR="00373031" w:rsidRPr="003450F1">
        <w:rPr>
          <w:rFonts w:ascii="Times New Roman" w:hAnsi="Times New Roman" w:cs="Times New Roman"/>
          <w:i/>
          <w:sz w:val="24"/>
          <w:szCs w:val="24"/>
          <w:lang w:val="en-US"/>
        </w:rPr>
        <w:t xml:space="preserve"> </w:t>
      </w:r>
      <w:r w:rsidR="008F53D2" w:rsidRPr="003450F1">
        <w:rPr>
          <w:rFonts w:ascii="Times New Roman" w:hAnsi="Times New Roman" w:cs="Times New Roman"/>
          <w:i/>
          <w:sz w:val="24"/>
          <w:szCs w:val="24"/>
          <w:lang w:val="en-US"/>
        </w:rPr>
        <w:t>thereto</w:t>
      </w:r>
      <w:r w:rsidR="00373031" w:rsidRPr="003450F1">
        <w:rPr>
          <w:rFonts w:ascii="Times New Roman" w:hAnsi="Times New Roman" w:cs="Times New Roman"/>
          <w:color w:val="auto"/>
          <w:sz w:val="24"/>
          <w:szCs w:val="24"/>
          <w:lang w:val="en-US"/>
        </w:rPr>
        <w:t>.</w:t>
      </w:r>
    </w:p>
    <w:p w14:paraId="4885F724" w14:textId="12548121" w:rsidR="001A711E" w:rsidRPr="003450F1" w:rsidRDefault="00072EA1" w:rsidP="002229A0">
      <w:pPr>
        <w:pStyle w:val="Hoofdtekst"/>
        <w:numPr>
          <w:ilvl w:val="0"/>
          <w:numId w:val="6"/>
        </w:numPr>
        <w:spacing w:after="120"/>
        <w:ind w:left="708" w:firstLine="0"/>
        <w:jc w:val="both"/>
        <w:rPr>
          <w:rFonts w:ascii="Times New Roman" w:hAnsi="Times New Roman" w:cs="Times New Roman"/>
          <w:sz w:val="24"/>
          <w:szCs w:val="24"/>
          <w:lang w:val="en-US"/>
        </w:rPr>
      </w:pPr>
      <w:r w:rsidRPr="003450F1">
        <w:rPr>
          <w:rFonts w:ascii="Times New Roman" w:hAnsi="Times New Roman" w:cs="Times New Roman"/>
          <w:i/>
          <w:sz w:val="24"/>
          <w:szCs w:val="24"/>
          <w:lang w:val="en-US"/>
        </w:rPr>
        <w:t xml:space="preserve">No person other than the user may </w:t>
      </w:r>
      <w:r w:rsidR="001A711E" w:rsidRPr="003450F1">
        <w:rPr>
          <w:rFonts w:ascii="Times New Roman" w:hAnsi="Times New Roman" w:cs="Times New Roman"/>
          <w:i/>
          <w:sz w:val="24"/>
          <w:szCs w:val="24"/>
          <w:lang w:val="en-US"/>
        </w:rPr>
        <w:t xml:space="preserve">listen, intercept, store the communications and the </w:t>
      </w:r>
      <w:r w:rsidR="00373031" w:rsidRPr="003450F1">
        <w:rPr>
          <w:rFonts w:ascii="Times New Roman" w:hAnsi="Times New Roman" w:cs="Times New Roman"/>
          <w:i/>
          <w:sz w:val="24"/>
          <w:szCs w:val="24"/>
          <w:lang w:val="en-US"/>
        </w:rPr>
        <w:t xml:space="preserve">traffic data </w:t>
      </w:r>
      <w:r w:rsidRPr="003450F1">
        <w:rPr>
          <w:rFonts w:ascii="Times New Roman" w:hAnsi="Times New Roman" w:cs="Times New Roman"/>
          <w:i/>
          <w:sz w:val="24"/>
          <w:szCs w:val="24"/>
          <w:lang w:val="en-US"/>
        </w:rPr>
        <w:t>relating</w:t>
      </w:r>
      <w:r w:rsidR="00373031" w:rsidRPr="003450F1">
        <w:rPr>
          <w:rFonts w:ascii="Times New Roman" w:hAnsi="Times New Roman" w:cs="Times New Roman"/>
          <w:i/>
          <w:sz w:val="24"/>
          <w:szCs w:val="24"/>
          <w:lang w:val="en-US"/>
        </w:rPr>
        <w:t xml:space="preserve"> </w:t>
      </w:r>
      <w:r w:rsidR="00F16901" w:rsidRPr="003450F1">
        <w:rPr>
          <w:rFonts w:ascii="Times New Roman" w:hAnsi="Times New Roman" w:cs="Times New Roman"/>
          <w:i/>
          <w:sz w:val="24"/>
          <w:szCs w:val="24"/>
          <w:lang w:val="en-US"/>
        </w:rPr>
        <w:t>thereto</w:t>
      </w:r>
      <w:r w:rsidR="001A711E" w:rsidRPr="003450F1">
        <w:rPr>
          <w:rFonts w:ascii="Times New Roman" w:hAnsi="Times New Roman" w:cs="Times New Roman"/>
          <w:color w:val="auto"/>
          <w:sz w:val="24"/>
          <w:szCs w:val="24"/>
          <w:lang w:val="en-US"/>
        </w:rPr>
        <w:t xml:space="preserve">, or to submit them </w:t>
      </w:r>
      <w:r w:rsidR="001A711E" w:rsidRPr="003450F1">
        <w:rPr>
          <w:rFonts w:ascii="Times New Roman" w:hAnsi="Times New Roman" w:cs="Times New Roman"/>
          <w:sz w:val="24"/>
          <w:szCs w:val="24"/>
          <w:lang w:val="en-US"/>
        </w:rPr>
        <w:t xml:space="preserve">to </w:t>
      </w:r>
      <w:r w:rsidR="00F16901" w:rsidRPr="003450F1">
        <w:rPr>
          <w:rFonts w:ascii="Times New Roman" w:hAnsi="Times New Roman" w:cs="Times New Roman"/>
          <w:sz w:val="24"/>
          <w:szCs w:val="24"/>
          <w:lang w:val="en-US"/>
        </w:rPr>
        <w:t xml:space="preserve">any </w:t>
      </w:r>
      <w:r w:rsidR="001A711E" w:rsidRPr="003450F1">
        <w:rPr>
          <w:rFonts w:ascii="Times New Roman" w:hAnsi="Times New Roman" w:cs="Times New Roman"/>
          <w:sz w:val="24"/>
          <w:szCs w:val="24"/>
          <w:lang w:val="en-US"/>
        </w:rPr>
        <w:t xml:space="preserve">other means of interception or </w:t>
      </w:r>
      <w:r w:rsidRPr="003450F1">
        <w:rPr>
          <w:rFonts w:ascii="Times New Roman" w:hAnsi="Times New Roman" w:cs="Times New Roman"/>
          <w:sz w:val="24"/>
          <w:szCs w:val="24"/>
          <w:lang w:val="en-US"/>
        </w:rPr>
        <w:t>surveillance</w:t>
      </w:r>
      <w:r w:rsidR="001A711E" w:rsidRPr="003450F1">
        <w:rPr>
          <w:rFonts w:ascii="Times New Roman" w:hAnsi="Times New Roman" w:cs="Times New Roman"/>
          <w:sz w:val="24"/>
          <w:szCs w:val="24"/>
          <w:lang w:val="en-US"/>
        </w:rPr>
        <w:t xml:space="preserve"> without the consent of the user concerned.</w:t>
      </w:r>
    </w:p>
    <w:p w14:paraId="5666F57F" w14:textId="77777777" w:rsidR="001A711E" w:rsidRPr="003450F1" w:rsidRDefault="001A711E" w:rsidP="002229A0">
      <w:pPr>
        <w:pStyle w:val="Hoofdtekst"/>
        <w:numPr>
          <w:ilvl w:val="0"/>
          <w:numId w:val="6"/>
        </w:numPr>
        <w:spacing w:after="120"/>
        <w:ind w:left="708" w:firstLine="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Paragraph (2): </w:t>
      </w:r>
    </w:p>
    <w:p w14:paraId="46E4E5AC" w14:textId="324658AB" w:rsidR="001A711E" w:rsidRPr="003450F1" w:rsidRDefault="001A711E" w:rsidP="001A711E">
      <w:pPr>
        <w:pStyle w:val="Hoofdtekst"/>
        <w:numPr>
          <w:ilvl w:val="0"/>
          <w:numId w:val="7"/>
        </w:numPr>
        <w:spacing w:after="120"/>
        <w:ind w:left="1440" w:firstLine="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does not </w:t>
      </w:r>
      <w:r w:rsidR="00565AE1" w:rsidRPr="003450F1">
        <w:rPr>
          <w:rFonts w:ascii="Times New Roman" w:hAnsi="Times New Roman" w:cs="Times New Roman"/>
          <w:sz w:val="24"/>
          <w:szCs w:val="24"/>
          <w:lang w:val="en-US"/>
        </w:rPr>
        <w:t>preclude</w:t>
      </w:r>
      <w:r w:rsidRPr="003450F1">
        <w:rPr>
          <w:rFonts w:ascii="Times New Roman" w:hAnsi="Times New Roman" w:cs="Times New Roman"/>
          <w:sz w:val="24"/>
          <w:szCs w:val="24"/>
          <w:lang w:val="en-US"/>
        </w:rPr>
        <w:t xml:space="preserve"> the necessary technical storage for the </w:t>
      </w:r>
      <w:r w:rsidR="00565AE1" w:rsidRPr="003450F1">
        <w:rPr>
          <w:rFonts w:ascii="Times New Roman" w:hAnsi="Times New Roman" w:cs="Times New Roman"/>
          <w:sz w:val="24"/>
          <w:szCs w:val="24"/>
          <w:lang w:val="en-US"/>
        </w:rPr>
        <w:t>transmission</w:t>
      </w:r>
      <w:r w:rsidR="00373031" w:rsidRPr="003450F1">
        <w:rPr>
          <w:rFonts w:ascii="Times New Roman" w:hAnsi="Times New Roman" w:cs="Times New Roman"/>
          <w:sz w:val="24"/>
          <w:szCs w:val="24"/>
          <w:lang w:val="en-US"/>
        </w:rPr>
        <w:t xml:space="preserve"> of a communication, without</w:t>
      </w:r>
      <w:r w:rsidRPr="003450F1">
        <w:rPr>
          <w:rFonts w:ascii="Times New Roman" w:hAnsi="Times New Roman" w:cs="Times New Roman"/>
          <w:sz w:val="24"/>
          <w:szCs w:val="24"/>
          <w:lang w:val="en-US"/>
        </w:rPr>
        <w:t xml:space="preserve"> prejudice to the principle of confidentiality;</w:t>
      </w:r>
    </w:p>
    <w:p w14:paraId="4BACF367" w14:textId="69C2769C" w:rsidR="00134098" w:rsidRPr="003450F1" w:rsidRDefault="001A711E" w:rsidP="001A711E">
      <w:pPr>
        <w:pStyle w:val="Hoofdtekst"/>
        <w:numPr>
          <w:ilvl w:val="0"/>
          <w:numId w:val="7"/>
        </w:numPr>
        <w:spacing w:after="120"/>
        <w:ind w:left="1440" w:firstLine="0"/>
        <w:jc w:val="both"/>
        <w:rPr>
          <w:rFonts w:ascii="Times New Roman" w:hAnsi="Times New Roman" w:cs="Times New Roman"/>
          <w:sz w:val="24"/>
          <w:szCs w:val="24"/>
          <w:lang w:val="en-US"/>
        </w:rPr>
      </w:pPr>
      <w:r w:rsidRPr="003450F1">
        <w:rPr>
          <w:rFonts w:ascii="Times New Roman" w:hAnsi="Times New Roman" w:cs="Times New Roman"/>
          <w:i/>
          <w:sz w:val="24"/>
          <w:szCs w:val="24"/>
          <w:lang w:val="en-US"/>
        </w:rPr>
        <w:t xml:space="preserve">does not apply to the </w:t>
      </w:r>
      <w:r w:rsidR="00267D8D" w:rsidRPr="003450F1">
        <w:rPr>
          <w:rFonts w:ascii="Times New Roman" w:hAnsi="Times New Roman" w:cs="Times New Roman"/>
          <w:i/>
          <w:sz w:val="24"/>
          <w:szCs w:val="24"/>
          <w:lang w:val="en-US"/>
        </w:rPr>
        <w:t xml:space="preserve">judicial </w:t>
      </w:r>
      <w:r w:rsidRPr="003450F1">
        <w:rPr>
          <w:rFonts w:ascii="Times New Roman" w:hAnsi="Times New Roman" w:cs="Times New Roman"/>
          <w:i/>
          <w:sz w:val="24"/>
          <w:szCs w:val="24"/>
          <w:lang w:val="en-US"/>
        </w:rPr>
        <w:t>authorities</w:t>
      </w:r>
      <w:r w:rsidRPr="003450F1">
        <w:rPr>
          <w:rFonts w:ascii="Times New Roman" w:hAnsi="Times New Roman" w:cs="Times New Roman"/>
          <w:sz w:val="24"/>
          <w:szCs w:val="24"/>
          <w:lang w:val="en-US"/>
        </w:rPr>
        <w:t xml:space="preserve"> acting </w:t>
      </w:r>
      <w:r w:rsidR="00A9282B" w:rsidRPr="003450F1">
        <w:rPr>
          <w:rFonts w:ascii="Times New Roman" w:hAnsi="Times New Roman" w:cs="Times New Roman"/>
          <w:sz w:val="24"/>
          <w:szCs w:val="24"/>
          <w:lang w:val="en-US"/>
        </w:rPr>
        <w:t>in the context of their legal powers</w:t>
      </w:r>
      <w:r w:rsidR="00514D80" w:rsidRPr="003450F1">
        <w:rPr>
          <w:rFonts w:ascii="Times New Roman" w:hAnsi="Times New Roman" w:cs="Times New Roman"/>
          <w:sz w:val="24"/>
          <w:szCs w:val="24"/>
          <w:lang w:val="en-US"/>
        </w:rPr>
        <w:t>,</w:t>
      </w:r>
      <w:r w:rsidR="00A9282B" w:rsidRPr="003450F1">
        <w:rPr>
          <w:rStyle w:val="Odwoanieprzypisudolnego"/>
          <w:rFonts w:ascii="Times New Roman" w:hAnsi="Times New Roman" w:cs="Times New Roman"/>
          <w:sz w:val="24"/>
          <w:szCs w:val="24"/>
          <w:lang w:val="en-US"/>
        </w:rPr>
        <w:footnoteReference w:id="52"/>
      </w:r>
      <w:r w:rsidRPr="003450F1">
        <w:rPr>
          <w:rFonts w:ascii="Times New Roman" w:hAnsi="Times New Roman" w:cs="Times New Roman"/>
          <w:sz w:val="24"/>
          <w:szCs w:val="24"/>
          <w:lang w:val="en-US"/>
        </w:rPr>
        <w:t xml:space="preserve"> </w:t>
      </w:r>
      <w:r w:rsidR="00134098" w:rsidRPr="003450F1">
        <w:rPr>
          <w:rFonts w:ascii="Times New Roman" w:hAnsi="Times New Roman" w:cs="Times New Roman"/>
          <w:sz w:val="24"/>
          <w:szCs w:val="24"/>
          <w:lang w:val="en-US"/>
        </w:rPr>
        <w:t>neither to th</w:t>
      </w:r>
      <w:r w:rsidRPr="003450F1">
        <w:rPr>
          <w:rFonts w:ascii="Times New Roman" w:hAnsi="Times New Roman" w:cs="Times New Roman"/>
          <w:sz w:val="24"/>
          <w:szCs w:val="24"/>
          <w:lang w:val="en-US"/>
        </w:rPr>
        <w:t xml:space="preserve">e authorities competent </w:t>
      </w:r>
      <w:r w:rsidR="00134098" w:rsidRPr="003450F1">
        <w:rPr>
          <w:rFonts w:ascii="Times New Roman" w:hAnsi="Times New Roman" w:cs="Times New Roman"/>
          <w:sz w:val="24"/>
          <w:szCs w:val="24"/>
          <w:lang w:val="en-US"/>
        </w:rPr>
        <w:t xml:space="preserve">pursuant </w:t>
      </w:r>
      <w:r w:rsidRPr="003450F1">
        <w:rPr>
          <w:rFonts w:ascii="Times New Roman" w:hAnsi="Times New Roman" w:cs="Times New Roman"/>
          <w:sz w:val="24"/>
          <w:szCs w:val="24"/>
          <w:lang w:val="en-US"/>
        </w:rPr>
        <w:t xml:space="preserve">by virtue of Articles 88-1 to 88-4 of the Code of Criminal Procedure </w:t>
      </w:r>
      <w:r w:rsidR="003640C9" w:rsidRPr="003450F1">
        <w:rPr>
          <w:rFonts w:ascii="Times New Roman" w:hAnsi="Times New Roman" w:cs="Times New Roman"/>
          <w:sz w:val="24"/>
          <w:szCs w:val="24"/>
          <w:lang w:val="en-US"/>
        </w:rPr>
        <w:t xml:space="preserve">to </w:t>
      </w:r>
      <w:r w:rsidRPr="003450F1">
        <w:rPr>
          <w:rFonts w:ascii="Times New Roman" w:hAnsi="Times New Roman" w:cs="Times New Roman"/>
          <w:sz w:val="24"/>
          <w:szCs w:val="24"/>
          <w:lang w:val="en-US"/>
        </w:rPr>
        <w:t xml:space="preserve">safeguard </w:t>
      </w:r>
      <w:r w:rsidR="00B75349" w:rsidRPr="003450F1">
        <w:rPr>
          <w:rFonts w:ascii="Times New Roman" w:hAnsi="Times New Roman" w:cs="Times New Roman"/>
          <w:sz w:val="24"/>
          <w:szCs w:val="24"/>
          <w:lang w:val="en-US"/>
        </w:rPr>
        <w:t>national</w:t>
      </w:r>
      <w:r w:rsidR="00134098"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 xml:space="preserve">security, </w:t>
      </w:r>
      <w:proofErr w:type="spellStart"/>
      <w:r w:rsidRPr="003450F1">
        <w:rPr>
          <w:rFonts w:ascii="Times New Roman" w:hAnsi="Times New Roman" w:cs="Times New Roman"/>
          <w:sz w:val="24"/>
          <w:szCs w:val="24"/>
          <w:lang w:val="en-US"/>
        </w:rPr>
        <w:t>defence</w:t>
      </w:r>
      <w:proofErr w:type="spellEnd"/>
      <w:r w:rsidRPr="003450F1">
        <w:rPr>
          <w:rFonts w:ascii="Times New Roman" w:hAnsi="Times New Roman" w:cs="Times New Roman"/>
          <w:sz w:val="24"/>
          <w:szCs w:val="24"/>
          <w:lang w:val="en-US"/>
        </w:rPr>
        <w:t xml:space="preserve">, public security and </w:t>
      </w:r>
      <w:r w:rsidR="00134098" w:rsidRPr="003450F1">
        <w:rPr>
          <w:rFonts w:ascii="Times New Roman" w:hAnsi="Times New Roman" w:cs="Times New Roman"/>
          <w:sz w:val="24"/>
          <w:szCs w:val="24"/>
          <w:lang w:val="en-US"/>
        </w:rPr>
        <w:t xml:space="preserve">for the </w:t>
      </w:r>
      <w:r w:rsidRPr="003450F1">
        <w:rPr>
          <w:rFonts w:ascii="Times New Roman" w:hAnsi="Times New Roman" w:cs="Times New Roman"/>
          <w:sz w:val="24"/>
          <w:szCs w:val="24"/>
          <w:lang w:val="en-US"/>
        </w:rPr>
        <w:t xml:space="preserve">prevention, </w:t>
      </w:r>
      <w:r w:rsidR="00134098" w:rsidRPr="003450F1">
        <w:rPr>
          <w:rFonts w:ascii="Times New Roman" w:hAnsi="Times New Roman" w:cs="Times New Roman"/>
          <w:sz w:val="24"/>
          <w:szCs w:val="24"/>
          <w:lang w:val="en-US"/>
        </w:rPr>
        <w:t>investigation</w:t>
      </w:r>
      <w:r w:rsidRPr="003450F1">
        <w:rPr>
          <w:rFonts w:ascii="Times New Roman" w:hAnsi="Times New Roman" w:cs="Times New Roman"/>
          <w:sz w:val="24"/>
          <w:szCs w:val="24"/>
          <w:lang w:val="en-US"/>
        </w:rPr>
        <w:t xml:space="preserve">, </w:t>
      </w:r>
      <w:r w:rsidR="00134098" w:rsidRPr="003450F1">
        <w:rPr>
          <w:rFonts w:ascii="Times New Roman" w:hAnsi="Times New Roman" w:cs="Times New Roman"/>
          <w:sz w:val="24"/>
          <w:szCs w:val="24"/>
          <w:lang w:val="en-US"/>
        </w:rPr>
        <w:t xml:space="preserve">detection </w:t>
      </w:r>
      <w:r w:rsidRPr="003450F1">
        <w:rPr>
          <w:rFonts w:ascii="Times New Roman" w:hAnsi="Times New Roman" w:cs="Times New Roman"/>
          <w:sz w:val="24"/>
          <w:szCs w:val="24"/>
          <w:lang w:val="en-US"/>
        </w:rPr>
        <w:t xml:space="preserve">and prosecution of </w:t>
      </w:r>
      <w:r w:rsidR="00134098" w:rsidRPr="003450F1">
        <w:rPr>
          <w:rFonts w:ascii="Times New Roman" w:hAnsi="Times New Roman" w:cs="Times New Roman"/>
          <w:sz w:val="24"/>
          <w:szCs w:val="24"/>
          <w:lang w:val="en-US"/>
        </w:rPr>
        <w:t>criminal offences;</w:t>
      </w:r>
    </w:p>
    <w:p w14:paraId="564BDDD6" w14:textId="4502959D" w:rsidR="001A711E" w:rsidRPr="003450F1" w:rsidRDefault="00134098" w:rsidP="00134098">
      <w:pPr>
        <w:pStyle w:val="Hoofdtekst"/>
        <w:spacing w:after="120"/>
        <w:ind w:left="144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p>
    <w:p w14:paraId="378A393A" w14:textId="3A703A9B" w:rsidR="001A711E" w:rsidRPr="003450F1" w:rsidRDefault="001A711E" w:rsidP="001A711E">
      <w:pPr>
        <w:pStyle w:val="Hoofdtekst"/>
        <w:numPr>
          <w:ilvl w:val="0"/>
          <w:numId w:val="6"/>
        </w:numPr>
        <w:spacing w:after="120"/>
        <w:ind w:left="708" w:firstLine="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Whoever violates the provisions of the present article is punished with </w:t>
      </w:r>
      <w:r w:rsidR="00B9216B" w:rsidRPr="003450F1">
        <w:rPr>
          <w:rFonts w:ascii="Times New Roman" w:hAnsi="Times New Roman" w:cs="Times New Roman"/>
          <w:sz w:val="24"/>
          <w:szCs w:val="24"/>
          <w:lang w:val="en-US"/>
        </w:rPr>
        <w:t>eight days to one year imprisonmen</w:t>
      </w:r>
      <w:r w:rsidR="00DB2CBC" w:rsidRPr="003450F1">
        <w:rPr>
          <w:rFonts w:ascii="Times New Roman" w:hAnsi="Times New Roman" w:cs="Times New Roman"/>
          <w:sz w:val="24"/>
          <w:szCs w:val="24"/>
          <w:lang w:val="en-US"/>
        </w:rPr>
        <w:t>t and with a fine of 251 to 125,</w:t>
      </w:r>
      <w:r w:rsidR="00B9216B" w:rsidRPr="003450F1">
        <w:rPr>
          <w:rFonts w:ascii="Times New Roman" w:hAnsi="Times New Roman" w:cs="Times New Roman"/>
          <w:sz w:val="24"/>
          <w:szCs w:val="24"/>
          <w:lang w:val="en-US"/>
        </w:rPr>
        <w:t xml:space="preserve">000 euros or with </w:t>
      </w:r>
      <w:r w:rsidR="00463CC7" w:rsidRPr="003450F1">
        <w:rPr>
          <w:rFonts w:ascii="Times New Roman" w:hAnsi="Times New Roman" w:cs="Times New Roman"/>
          <w:sz w:val="24"/>
          <w:szCs w:val="24"/>
          <w:lang w:val="en-US"/>
        </w:rPr>
        <w:t>only</w:t>
      </w:r>
      <w:r w:rsidR="00B9216B" w:rsidRPr="003450F1">
        <w:rPr>
          <w:rFonts w:ascii="Times New Roman" w:hAnsi="Times New Roman" w:cs="Times New Roman"/>
          <w:sz w:val="24"/>
          <w:szCs w:val="24"/>
          <w:lang w:val="en-US"/>
        </w:rPr>
        <w:t xml:space="preserve"> one of these </w:t>
      </w:r>
      <w:r w:rsidR="00B9216B" w:rsidRPr="003450F1">
        <w:rPr>
          <w:rFonts w:ascii="Times New Roman" w:hAnsi="Times New Roman" w:cs="Times New Roman"/>
          <w:sz w:val="24"/>
          <w:szCs w:val="24"/>
          <w:lang w:val="en-US"/>
        </w:rPr>
        <w:lastRenderedPageBreak/>
        <w:t>penalties. The court</w:t>
      </w:r>
      <w:r w:rsidR="00B75349" w:rsidRPr="003450F1">
        <w:rPr>
          <w:rFonts w:ascii="Times New Roman" w:hAnsi="Times New Roman" w:cs="Times New Roman"/>
          <w:sz w:val="24"/>
          <w:szCs w:val="24"/>
          <w:lang w:val="en-US"/>
        </w:rPr>
        <w:t xml:space="preserve"> of competent jurisdiction</w:t>
      </w:r>
      <w:r w:rsidR="00B9216B" w:rsidRPr="003450F1">
        <w:rPr>
          <w:rFonts w:ascii="Times New Roman" w:hAnsi="Times New Roman" w:cs="Times New Roman"/>
          <w:sz w:val="24"/>
          <w:szCs w:val="24"/>
          <w:lang w:val="en-US"/>
        </w:rPr>
        <w:t xml:space="preserve"> can </w:t>
      </w:r>
      <w:r w:rsidR="00B75349" w:rsidRPr="003450F1">
        <w:rPr>
          <w:rFonts w:ascii="Times New Roman" w:hAnsi="Times New Roman" w:cs="Times New Roman"/>
          <w:sz w:val="24"/>
          <w:szCs w:val="24"/>
          <w:lang w:val="en-US"/>
        </w:rPr>
        <w:t xml:space="preserve">cease </w:t>
      </w:r>
      <w:r w:rsidR="00B9216B" w:rsidRPr="003450F1">
        <w:rPr>
          <w:rFonts w:ascii="Times New Roman" w:hAnsi="Times New Roman" w:cs="Times New Roman"/>
          <w:sz w:val="24"/>
          <w:szCs w:val="24"/>
          <w:lang w:val="en-US"/>
        </w:rPr>
        <w:t xml:space="preserve">the acts contrary to the provisions of the present article, and </w:t>
      </w:r>
      <w:r w:rsidR="00B9216B" w:rsidRPr="003450F1">
        <w:rPr>
          <w:rFonts w:ascii="Times New Roman" w:hAnsi="Times New Roman" w:cs="Times New Roman"/>
          <w:color w:val="auto"/>
          <w:sz w:val="24"/>
          <w:szCs w:val="24"/>
          <w:lang w:val="en-US"/>
        </w:rPr>
        <w:t xml:space="preserve">imposes a </w:t>
      </w:r>
      <w:r w:rsidR="00B75349" w:rsidRPr="003450F1">
        <w:rPr>
          <w:rFonts w:ascii="Times New Roman" w:hAnsi="Times New Roman" w:cs="Times New Roman"/>
          <w:sz w:val="24"/>
          <w:szCs w:val="24"/>
          <w:lang w:val="en-US"/>
        </w:rPr>
        <w:t>monetary</w:t>
      </w:r>
      <w:r w:rsidR="00B9216B" w:rsidRPr="003450F1">
        <w:rPr>
          <w:rFonts w:ascii="Times New Roman" w:hAnsi="Times New Roman" w:cs="Times New Roman"/>
          <w:sz w:val="24"/>
          <w:szCs w:val="24"/>
          <w:lang w:val="en-US"/>
        </w:rPr>
        <w:t xml:space="preserve"> </w:t>
      </w:r>
      <w:r w:rsidR="00B9216B" w:rsidRPr="003450F1">
        <w:rPr>
          <w:rFonts w:ascii="Times New Roman" w:hAnsi="Times New Roman" w:cs="Times New Roman"/>
          <w:color w:val="auto"/>
          <w:sz w:val="24"/>
          <w:szCs w:val="24"/>
          <w:lang w:val="en-US"/>
        </w:rPr>
        <w:t>penalty in case of non-compliance, the maximum of which is set by the court</w:t>
      </w:r>
      <w:r w:rsidR="00B9216B" w:rsidRPr="003450F1">
        <w:rPr>
          <w:lang w:val="en-US"/>
        </w:rPr>
        <w:t>.</w:t>
      </w:r>
      <w:r w:rsidR="00017ADA" w:rsidRPr="003450F1">
        <w:rPr>
          <w:rFonts w:ascii="Times New Roman" w:hAnsi="Times New Roman" w:cs="Times New Roman"/>
          <w:color w:val="auto"/>
          <w:sz w:val="24"/>
          <w:szCs w:val="24"/>
          <w:lang w:val="en-US"/>
        </w:rPr>
        <w:t>’</w:t>
      </w:r>
      <w:r w:rsidR="00BA748A" w:rsidRPr="003450F1">
        <w:rPr>
          <w:rStyle w:val="Odwoanieprzypisudolnego"/>
          <w:rFonts w:ascii="Times New Roman" w:hAnsi="Times New Roman" w:cs="Times New Roman"/>
          <w:color w:val="auto"/>
          <w:sz w:val="24"/>
          <w:szCs w:val="24"/>
          <w:lang w:val="en-US"/>
        </w:rPr>
        <w:footnoteReference w:id="53"/>
      </w:r>
    </w:p>
    <w:p w14:paraId="37D09F1A" w14:textId="33C769FB" w:rsidR="00C74D61" w:rsidRPr="003450F1" w:rsidRDefault="00C74D61"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Similarly, Article 4 (1) of the Law of 27 February 2011</w:t>
      </w:r>
      <w:r w:rsidRPr="003450F1">
        <w:rPr>
          <w:rFonts w:ascii="Times New Roman" w:hAnsi="Times New Roman" w:cs="Times New Roman"/>
          <w:bCs/>
          <w:sz w:val="24"/>
          <w:szCs w:val="24"/>
          <w:lang w:val="en-US"/>
        </w:rPr>
        <w:t xml:space="preserve"> on electronic communications networks and services (</w:t>
      </w:r>
      <w:r w:rsidRPr="003450F1">
        <w:rPr>
          <w:rFonts w:ascii="Times New Roman" w:hAnsi="Times New Roman" w:cs="Times New Roman"/>
          <w:bCs/>
          <w:i/>
          <w:sz w:val="24"/>
          <w:szCs w:val="24"/>
          <w:lang w:val="en-US"/>
        </w:rPr>
        <w:t>supra</w:t>
      </w:r>
      <w:r w:rsidRPr="003450F1">
        <w:rPr>
          <w:rFonts w:ascii="Times New Roman" w:hAnsi="Times New Roman" w:cs="Times New Roman"/>
          <w:bCs/>
          <w:sz w:val="24"/>
          <w:szCs w:val="24"/>
          <w:lang w:val="en-US"/>
        </w:rPr>
        <w:t>, sub question 1) states that all businesses offering electronic communications services, including their staff, have to respect the secrecy of communications.</w:t>
      </w:r>
    </w:p>
    <w:p w14:paraId="53627C15" w14:textId="7089C7D3" w:rsidR="001A711E" w:rsidRPr="003450F1" w:rsidRDefault="00134098"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It should be emphasized, though, that</w:t>
      </w:r>
      <w:r w:rsidR="001A711E" w:rsidRPr="003450F1">
        <w:rPr>
          <w:rFonts w:ascii="Times New Roman" w:hAnsi="Times New Roman" w:cs="Times New Roman"/>
          <w:sz w:val="24"/>
          <w:szCs w:val="24"/>
          <w:lang w:val="en-US"/>
        </w:rPr>
        <w:t xml:space="preserve"> </w:t>
      </w:r>
      <w:r w:rsidR="00C74D61" w:rsidRPr="003450F1">
        <w:rPr>
          <w:rFonts w:ascii="Times New Roman" w:hAnsi="Times New Roman" w:cs="Times New Roman"/>
          <w:sz w:val="24"/>
          <w:szCs w:val="24"/>
          <w:lang w:val="en-US"/>
        </w:rPr>
        <w:t xml:space="preserve">the aforementioned </w:t>
      </w:r>
      <w:r w:rsidR="001A711E" w:rsidRPr="003450F1">
        <w:rPr>
          <w:rFonts w:ascii="Times New Roman" w:hAnsi="Times New Roman" w:cs="Times New Roman"/>
          <w:sz w:val="24"/>
          <w:szCs w:val="24"/>
          <w:lang w:val="en-US"/>
        </w:rPr>
        <w:t xml:space="preserve">Article 4 of the Law of 30 May 2005 only applies </w:t>
      </w:r>
      <w:r w:rsidRPr="003450F1">
        <w:rPr>
          <w:rFonts w:ascii="Times New Roman" w:hAnsi="Times New Roman" w:cs="Times New Roman"/>
          <w:sz w:val="24"/>
          <w:szCs w:val="24"/>
          <w:lang w:val="en-US"/>
        </w:rPr>
        <w:t xml:space="preserve">to </w:t>
      </w:r>
      <w:r w:rsidR="001A711E" w:rsidRPr="003450F1">
        <w:rPr>
          <w:rFonts w:ascii="Times New Roman" w:hAnsi="Times New Roman" w:cs="Times New Roman"/>
          <w:sz w:val="24"/>
          <w:szCs w:val="24"/>
          <w:lang w:val="en-US"/>
        </w:rPr>
        <w:t>communication</w:t>
      </w:r>
      <w:r w:rsidRPr="003450F1">
        <w:rPr>
          <w:rFonts w:ascii="Times New Roman" w:hAnsi="Times New Roman" w:cs="Times New Roman"/>
          <w:sz w:val="24"/>
          <w:szCs w:val="24"/>
          <w:lang w:val="en-US"/>
        </w:rPr>
        <w:t>s</w:t>
      </w:r>
      <w:r w:rsidR="001A711E"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 xml:space="preserve">transmitted </w:t>
      </w:r>
      <w:r w:rsidR="001A711E" w:rsidRPr="003450F1">
        <w:rPr>
          <w:rFonts w:ascii="Times New Roman" w:hAnsi="Times New Roman" w:cs="Times New Roman"/>
          <w:sz w:val="24"/>
          <w:szCs w:val="24"/>
          <w:lang w:val="en-US"/>
        </w:rPr>
        <w:t xml:space="preserve">via a public </w:t>
      </w:r>
      <w:r w:rsidRPr="003450F1">
        <w:rPr>
          <w:rFonts w:ascii="Times New Roman" w:hAnsi="Times New Roman" w:cs="Times New Roman"/>
          <w:sz w:val="24"/>
          <w:szCs w:val="24"/>
          <w:lang w:val="en-US"/>
        </w:rPr>
        <w:t xml:space="preserve">communications </w:t>
      </w:r>
      <w:r w:rsidR="001A711E" w:rsidRPr="003450F1">
        <w:rPr>
          <w:rFonts w:ascii="Times New Roman" w:hAnsi="Times New Roman" w:cs="Times New Roman"/>
          <w:sz w:val="24"/>
          <w:szCs w:val="24"/>
          <w:lang w:val="en-US"/>
        </w:rPr>
        <w:t xml:space="preserve">network </w:t>
      </w:r>
      <w:r w:rsidRPr="003450F1">
        <w:rPr>
          <w:rFonts w:ascii="Times New Roman" w:hAnsi="Times New Roman" w:cs="Times New Roman"/>
          <w:sz w:val="24"/>
          <w:szCs w:val="24"/>
          <w:lang w:val="en-US"/>
        </w:rPr>
        <w:t xml:space="preserve">and via </w:t>
      </w:r>
      <w:r w:rsidR="001A711E" w:rsidRPr="003450F1">
        <w:rPr>
          <w:rFonts w:ascii="Times New Roman" w:hAnsi="Times New Roman" w:cs="Times New Roman"/>
          <w:sz w:val="24"/>
          <w:szCs w:val="24"/>
          <w:lang w:val="en-US"/>
        </w:rPr>
        <w:t xml:space="preserve">publicly available </w:t>
      </w:r>
      <w:r w:rsidRPr="003450F1">
        <w:rPr>
          <w:rFonts w:ascii="Times New Roman" w:hAnsi="Times New Roman" w:cs="Times New Roman"/>
          <w:sz w:val="24"/>
          <w:szCs w:val="24"/>
          <w:lang w:val="en-US"/>
        </w:rPr>
        <w:t xml:space="preserve">electronic communications services. </w:t>
      </w:r>
      <w:r w:rsidR="001A711E" w:rsidRPr="003450F1">
        <w:rPr>
          <w:rFonts w:ascii="Times New Roman" w:hAnsi="Times New Roman" w:cs="Times New Roman"/>
          <w:sz w:val="24"/>
          <w:szCs w:val="24"/>
          <w:lang w:val="en-US"/>
        </w:rPr>
        <w:t>Therefore, the foregoing provision is supp</w:t>
      </w:r>
      <w:r w:rsidR="00AD391B" w:rsidRPr="003450F1">
        <w:rPr>
          <w:rFonts w:ascii="Times New Roman" w:hAnsi="Times New Roman" w:cs="Times New Roman"/>
          <w:sz w:val="24"/>
          <w:szCs w:val="24"/>
          <w:lang w:val="en-US"/>
        </w:rPr>
        <w:t>lemented by Article 509-3, paragraph</w:t>
      </w:r>
      <w:r w:rsidR="001A711E" w:rsidRPr="003450F1">
        <w:rPr>
          <w:rFonts w:ascii="Times New Roman" w:hAnsi="Times New Roman" w:cs="Times New Roman"/>
          <w:sz w:val="24"/>
          <w:szCs w:val="24"/>
          <w:lang w:val="en-US"/>
        </w:rPr>
        <w:t xml:space="preserve"> 2 of the Criminal Code,</w:t>
      </w:r>
      <w:r w:rsidR="001A711E" w:rsidRPr="003450F1">
        <w:rPr>
          <w:rStyle w:val="Odwoanieprzypisudolnego"/>
          <w:rFonts w:ascii="Times New Roman" w:hAnsi="Times New Roman" w:cs="Times New Roman"/>
          <w:sz w:val="24"/>
          <w:szCs w:val="24"/>
        </w:rPr>
        <w:footnoteReference w:id="54"/>
      </w:r>
      <w:r w:rsidR="001A711E" w:rsidRPr="003450F1">
        <w:rPr>
          <w:rFonts w:ascii="Times New Roman" w:hAnsi="Times New Roman" w:cs="Times New Roman"/>
          <w:sz w:val="24"/>
          <w:szCs w:val="24"/>
          <w:lang w:val="en-US"/>
        </w:rPr>
        <w:t xml:space="preserve"> which also applies to the transmission of data via internal networks, data processing systems and automatic data transmission systems.</w:t>
      </w:r>
      <w:r w:rsidR="006453D0" w:rsidRPr="003450F1">
        <w:rPr>
          <w:rStyle w:val="Odwoanieprzypisudolnego"/>
          <w:rFonts w:ascii="Times New Roman" w:hAnsi="Times New Roman" w:cs="Times New Roman"/>
          <w:sz w:val="24"/>
          <w:szCs w:val="24"/>
          <w:lang w:val="en-US"/>
        </w:rPr>
        <w:footnoteReference w:id="55"/>
      </w:r>
      <w:r w:rsidR="00AD391B" w:rsidRPr="003450F1">
        <w:rPr>
          <w:rFonts w:ascii="Times New Roman" w:hAnsi="Times New Roman" w:cs="Times New Roman"/>
          <w:sz w:val="24"/>
          <w:szCs w:val="24"/>
          <w:lang w:val="en-US"/>
        </w:rPr>
        <w:t xml:space="preserve"> Article 509-3, paragraph</w:t>
      </w:r>
      <w:r w:rsidRPr="003450F1">
        <w:rPr>
          <w:rFonts w:ascii="Times New Roman" w:hAnsi="Times New Roman" w:cs="Times New Roman"/>
          <w:sz w:val="24"/>
          <w:szCs w:val="24"/>
          <w:lang w:val="en-US"/>
        </w:rPr>
        <w:t xml:space="preserve"> 2 o</w:t>
      </w:r>
      <w:r w:rsidR="007973DF" w:rsidRPr="003450F1">
        <w:rPr>
          <w:rFonts w:ascii="Times New Roman" w:hAnsi="Times New Roman" w:cs="Times New Roman"/>
          <w:sz w:val="24"/>
          <w:szCs w:val="24"/>
          <w:lang w:val="en-US"/>
        </w:rPr>
        <w:t>f the Criminal Code</w:t>
      </w:r>
      <w:r w:rsidR="00E1578A" w:rsidRPr="003450F1">
        <w:rPr>
          <w:rFonts w:ascii="Times New Roman" w:hAnsi="Times New Roman" w:cs="Times New Roman"/>
          <w:sz w:val="24"/>
          <w:szCs w:val="24"/>
          <w:lang w:val="en-US"/>
        </w:rPr>
        <w:t>, which was introduced by the Law of 18 July 2014 approving the Budapest Convention,</w:t>
      </w:r>
      <w:r w:rsidR="007973DF" w:rsidRPr="003450F1">
        <w:rPr>
          <w:rFonts w:ascii="Times New Roman" w:hAnsi="Times New Roman" w:cs="Times New Roman"/>
          <w:sz w:val="24"/>
          <w:szCs w:val="24"/>
          <w:lang w:val="en-US"/>
        </w:rPr>
        <w:t xml:space="preserve"> states:</w:t>
      </w:r>
    </w:p>
    <w:p w14:paraId="043F1716" w14:textId="01124853"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w:t>
      </w:r>
      <w:r w:rsidR="00134098" w:rsidRPr="003450F1">
        <w:t>Whoever</w:t>
      </w:r>
      <w:r w:rsidR="007973DF" w:rsidRPr="003450F1">
        <w:t xml:space="preserve"> </w:t>
      </w:r>
      <w:r w:rsidR="001A711E" w:rsidRPr="003450F1">
        <w:t>intercepts</w:t>
      </w:r>
      <w:r w:rsidR="007973DF" w:rsidRPr="003450F1">
        <w:t>, intentionally and in violation of another person’s rights,</w:t>
      </w:r>
      <w:r w:rsidR="001A711E" w:rsidRPr="003450F1">
        <w:t xml:space="preserve"> data during non-public transmissions towards, from or inside a processing system or an automatic data trans</w:t>
      </w:r>
      <w:r w:rsidR="007973DF" w:rsidRPr="003450F1">
        <w:t>mission system shall be punishable</w:t>
      </w:r>
      <w:r w:rsidR="001A711E" w:rsidRPr="003450F1">
        <w:t xml:space="preserve"> </w:t>
      </w:r>
      <w:r w:rsidR="007973DF" w:rsidRPr="003450F1">
        <w:t xml:space="preserve">by </w:t>
      </w:r>
      <w:r w:rsidR="001A711E" w:rsidRPr="003450F1">
        <w:t>the same penalties</w:t>
      </w:r>
      <w:r w:rsidR="007973DF" w:rsidRPr="003450F1">
        <w:t xml:space="preserve">’ </w:t>
      </w:r>
      <w:r w:rsidR="001A711E" w:rsidRPr="003450F1">
        <w:t>as in paragraph 1, namely with a</w:t>
      </w:r>
      <w:r w:rsidR="007973DF" w:rsidRPr="003450F1">
        <w:t xml:space="preserve"> prison sentence </w:t>
      </w:r>
      <w:r w:rsidR="001A711E" w:rsidRPr="003450F1">
        <w:t xml:space="preserve">of three months </w:t>
      </w:r>
      <w:r w:rsidR="007973DF" w:rsidRPr="003450F1">
        <w:t xml:space="preserve">up </w:t>
      </w:r>
      <w:r w:rsidR="001A711E" w:rsidRPr="003450F1">
        <w:t xml:space="preserve">to three years and/or a fine of 1,250 </w:t>
      </w:r>
      <w:r w:rsidR="007973DF" w:rsidRPr="003450F1">
        <w:t xml:space="preserve">up </w:t>
      </w:r>
      <w:r w:rsidR="001A711E" w:rsidRPr="003450F1">
        <w:t>to 12,500 euros.</w:t>
      </w:r>
    </w:p>
    <w:p w14:paraId="03655839" w14:textId="77777777"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However, this offence does not apply to judicial authorities acting on the basis of Articles 67-1 and 88-1 until 88-4 Code of Criminal Procedure (</w:t>
      </w:r>
      <w:r w:rsidRPr="003450F1">
        <w:rPr>
          <w:rFonts w:ascii="Times New Roman" w:hAnsi="Times New Roman" w:cs="Times New Roman"/>
          <w:i/>
          <w:sz w:val="24"/>
          <w:szCs w:val="24"/>
          <w:lang w:val="en-US"/>
        </w:rPr>
        <w:t>infra</w:t>
      </w:r>
      <w:r w:rsidRPr="003450F1">
        <w:rPr>
          <w:rFonts w:ascii="Times New Roman" w:hAnsi="Times New Roman" w:cs="Times New Roman"/>
          <w:sz w:val="24"/>
          <w:szCs w:val="24"/>
          <w:lang w:val="en-US"/>
        </w:rPr>
        <w:t>).</w:t>
      </w:r>
      <w:r w:rsidRPr="003450F1">
        <w:rPr>
          <w:rStyle w:val="Odwoanieprzypisudolnego"/>
          <w:rFonts w:ascii="Times New Roman" w:hAnsi="Times New Roman" w:cs="Times New Roman"/>
          <w:sz w:val="24"/>
          <w:szCs w:val="24"/>
          <w:lang w:val="en-US"/>
        </w:rPr>
        <w:footnoteReference w:id="56"/>
      </w:r>
    </w:p>
    <w:p w14:paraId="64FA9EE8" w14:textId="4A32F6EC" w:rsidR="006F1336"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 central concern of privacy and confidentiality also transpires from the obligation of service providers to </w:t>
      </w:r>
      <w:r w:rsidR="006453D0" w:rsidRPr="003450F1">
        <w:rPr>
          <w:rFonts w:ascii="Times New Roman" w:hAnsi="Times New Roman" w:cs="Times New Roman"/>
          <w:sz w:val="24"/>
          <w:szCs w:val="24"/>
          <w:lang w:val="en-US"/>
        </w:rPr>
        <w:t xml:space="preserve">guarantee the secure processing </w:t>
      </w:r>
      <w:r w:rsidR="00D51C2F" w:rsidRPr="003450F1">
        <w:rPr>
          <w:rFonts w:ascii="Times New Roman" w:hAnsi="Times New Roman" w:cs="Times New Roman"/>
          <w:sz w:val="24"/>
          <w:szCs w:val="24"/>
          <w:lang w:val="en-US"/>
        </w:rPr>
        <w:t xml:space="preserve">of </w:t>
      </w:r>
      <w:r w:rsidR="006F1336" w:rsidRPr="003450F1">
        <w:rPr>
          <w:rFonts w:ascii="Times New Roman" w:hAnsi="Times New Roman" w:cs="Times New Roman"/>
          <w:sz w:val="24"/>
          <w:szCs w:val="24"/>
          <w:lang w:val="en-US"/>
        </w:rPr>
        <w:t xml:space="preserve">personal </w:t>
      </w:r>
      <w:r w:rsidR="00D51C2F" w:rsidRPr="003450F1">
        <w:rPr>
          <w:rFonts w:ascii="Times New Roman" w:hAnsi="Times New Roman" w:cs="Times New Roman"/>
          <w:sz w:val="24"/>
          <w:szCs w:val="24"/>
          <w:lang w:val="en-US"/>
        </w:rPr>
        <w:t>data</w:t>
      </w:r>
      <w:r w:rsidR="006F1336" w:rsidRPr="003450F1">
        <w:rPr>
          <w:rFonts w:ascii="Times New Roman" w:hAnsi="Times New Roman" w:cs="Times New Roman"/>
          <w:sz w:val="24"/>
          <w:szCs w:val="24"/>
          <w:lang w:val="en-US"/>
        </w:rPr>
        <w:t xml:space="preserve"> in the context of their services</w:t>
      </w:r>
      <w:r w:rsidR="00D51C2F" w:rsidRPr="003450F1">
        <w:rPr>
          <w:rFonts w:ascii="Times New Roman" w:hAnsi="Times New Roman" w:cs="Times New Roman"/>
          <w:sz w:val="24"/>
          <w:szCs w:val="24"/>
          <w:lang w:val="en-US"/>
        </w:rPr>
        <w:t xml:space="preserve"> </w:t>
      </w:r>
      <w:r w:rsidR="006F1336" w:rsidRPr="003450F1">
        <w:rPr>
          <w:rFonts w:ascii="Times New Roman" w:hAnsi="Times New Roman" w:cs="Times New Roman"/>
          <w:sz w:val="24"/>
          <w:szCs w:val="24"/>
          <w:lang w:val="en-US"/>
        </w:rPr>
        <w:t>and to make sure that only authorized persons are given access to those data.</w:t>
      </w:r>
      <w:r w:rsidR="006F1336" w:rsidRPr="003450F1">
        <w:rPr>
          <w:rStyle w:val="Odwoanieprzypisudolnego"/>
          <w:rFonts w:ascii="Times New Roman" w:hAnsi="Times New Roman" w:cs="Times New Roman"/>
          <w:sz w:val="24"/>
          <w:szCs w:val="24"/>
          <w:lang w:val="en-US"/>
        </w:rPr>
        <w:footnoteReference w:id="57"/>
      </w:r>
      <w:r w:rsidR="006F1336" w:rsidRPr="003450F1">
        <w:rPr>
          <w:rFonts w:ascii="Times New Roman" w:hAnsi="Times New Roman" w:cs="Times New Roman"/>
          <w:sz w:val="24"/>
          <w:szCs w:val="24"/>
          <w:lang w:val="en-US"/>
        </w:rPr>
        <w:t xml:space="preserve"> Moreover, they should </w:t>
      </w:r>
      <w:r w:rsidRPr="003450F1">
        <w:rPr>
          <w:rFonts w:ascii="Times New Roman" w:hAnsi="Times New Roman" w:cs="Times New Roman"/>
          <w:sz w:val="24"/>
          <w:szCs w:val="24"/>
          <w:lang w:val="en-US"/>
        </w:rPr>
        <w:t xml:space="preserve">store the traffic data and </w:t>
      </w:r>
      <w:r w:rsidR="00D3525A" w:rsidRPr="003450F1">
        <w:rPr>
          <w:rFonts w:ascii="Times New Roman" w:hAnsi="Times New Roman" w:cs="Times New Roman"/>
          <w:sz w:val="24"/>
          <w:szCs w:val="24"/>
          <w:lang w:val="en-US"/>
        </w:rPr>
        <w:t>location data</w:t>
      </w:r>
      <w:r w:rsidRPr="003450F1">
        <w:rPr>
          <w:rFonts w:ascii="Times New Roman" w:hAnsi="Times New Roman" w:cs="Times New Roman"/>
          <w:sz w:val="24"/>
          <w:szCs w:val="24"/>
          <w:lang w:val="en-US"/>
        </w:rPr>
        <w:t xml:space="preserve"> in a secure manner</w:t>
      </w:r>
      <w:r w:rsidR="006F1336" w:rsidRPr="003450F1">
        <w:rPr>
          <w:rStyle w:val="Odwoanieprzypisudolnego"/>
          <w:rFonts w:ascii="Times New Roman" w:hAnsi="Times New Roman" w:cs="Times New Roman"/>
          <w:sz w:val="24"/>
          <w:szCs w:val="24"/>
          <w:lang w:val="en-US"/>
        </w:rPr>
        <w:footnoteReference w:id="58"/>
      </w:r>
      <w:r w:rsidRPr="003450F1">
        <w:rPr>
          <w:rFonts w:ascii="Times New Roman" w:hAnsi="Times New Roman" w:cs="Times New Roman"/>
          <w:sz w:val="24"/>
          <w:szCs w:val="24"/>
          <w:lang w:val="en-US"/>
        </w:rPr>
        <w:t xml:space="preserve"> </w:t>
      </w:r>
      <w:r w:rsidR="006F1336" w:rsidRPr="003450F1">
        <w:rPr>
          <w:rFonts w:ascii="Times New Roman" w:hAnsi="Times New Roman" w:cs="Times New Roman"/>
          <w:sz w:val="24"/>
          <w:szCs w:val="24"/>
          <w:lang w:val="en-US"/>
        </w:rPr>
        <w:t>(</w:t>
      </w:r>
      <w:r w:rsidRPr="003450F1">
        <w:rPr>
          <w:rFonts w:ascii="Times New Roman" w:hAnsi="Times New Roman" w:cs="Times New Roman"/>
          <w:i/>
          <w:sz w:val="24"/>
          <w:szCs w:val="24"/>
          <w:lang w:val="en-US"/>
        </w:rPr>
        <w:t>supra</w:t>
      </w:r>
      <w:r w:rsidRPr="003450F1">
        <w:rPr>
          <w:rFonts w:ascii="Times New Roman" w:hAnsi="Times New Roman" w:cs="Times New Roman"/>
          <w:sz w:val="24"/>
          <w:szCs w:val="24"/>
          <w:lang w:val="en-US"/>
        </w:rPr>
        <w:t xml:space="preserve">, question 1) and </w:t>
      </w:r>
      <w:r w:rsidR="000D4A05" w:rsidRPr="003450F1">
        <w:rPr>
          <w:rFonts w:ascii="Times New Roman" w:hAnsi="Times New Roman" w:cs="Times New Roman"/>
          <w:sz w:val="24"/>
          <w:szCs w:val="24"/>
          <w:lang w:val="en-US"/>
        </w:rPr>
        <w:t xml:space="preserve">should </w:t>
      </w:r>
      <w:r w:rsidRPr="003450F1">
        <w:rPr>
          <w:rFonts w:ascii="Times New Roman" w:hAnsi="Times New Roman" w:cs="Times New Roman"/>
          <w:sz w:val="24"/>
          <w:szCs w:val="24"/>
          <w:lang w:val="en-US"/>
        </w:rPr>
        <w:t>delete the stored data after the expiry of the data retention period o</w:t>
      </w:r>
      <w:r w:rsidR="00CF5097" w:rsidRPr="003450F1">
        <w:rPr>
          <w:rFonts w:ascii="Times New Roman" w:hAnsi="Times New Roman" w:cs="Times New Roman"/>
          <w:sz w:val="24"/>
          <w:szCs w:val="24"/>
          <w:lang w:val="en-US"/>
        </w:rPr>
        <w:t xml:space="preserve">f 6 months (see </w:t>
      </w:r>
      <w:r w:rsidR="006F1336" w:rsidRPr="003450F1">
        <w:rPr>
          <w:rFonts w:ascii="Times New Roman" w:hAnsi="Times New Roman" w:cs="Times New Roman"/>
          <w:sz w:val="24"/>
          <w:szCs w:val="24"/>
          <w:lang w:val="en-US"/>
        </w:rPr>
        <w:t xml:space="preserve">also </w:t>
      </w:r>
      <w:r w:rsidR="00CF5097" w:rsidRPr="003450F1">
        <w:rPr>
          <w:rFonts w:ascii="Times New Roman" w:hAnsi="Times New Roman" w:cs="Times New Roman"/>
          <w:sz w:val="24"/>
          <w:szCs w:val="24"/>
          <w:lang w:val="en-US"/>
        </w:rPr>
        <w:t>pending Bill No</w:t>
      </w:r>
      <w:r w:rsidRPr="003450F1">
        <w:rPr>
          <w:rFonts w:ascii="Times New Roman" w:hAnsi="Times New Roman" w:cs="Times New Roman"/>
          <w:sz w:val="24"/>
          <w:szCs w:val="24"/>
          <w:lang w:val="en-US"/>
        </w:rPr>
        <w:t xml:space="preserve"> 6763, </w:t>
      </w:r>
      <w:r w:rsidRPr="003450F1">
        <w:rPr>
          <w:rFonts w:ascii="Times New Roman" w:hAnsi="Times New Roman" w:cs="Times New Roman"/>
          <w:i/>
          <w:sz w:val="24"/>
          <w:szCs w:val="24"/>
          <w:lang w:val="en-US"/>
        </w:rPr>
        <w:t>infra</w:t>
      </w:r>
      <w:r w:rsidRPr="003450F1">
        <w:rPr>
          <w:rFonts w:ascii="Times New Roman" w:hAnsi="Times New Roman" w:cs="Times New Roman"/>
          <w:sz w:val="24"/>
          <w:szCs w:val="24"/>
          <w:lang w:val="en-US"/>
        </w:rPr>
        <w:t xml:space="preserve">, </w:t>
      </w:r>
      <w:r w:rsidR="006F1336" w:rsidRPr="003450F1">
        <w:rPr>
          <w:rFonts w:ascii="Times New Roman" w:hAnsi="Times New Roman" w:cs="Times New Roman"/>
          <w:sz w:val="24"/>
          <w:szCs w:val="24"/>
          <w:lang w:val="en-US"/>
        </w:rPr>
        <w:t xml:space="preserve">sub </w:t>
      </w:r>
      <w:r w:rsidRPr="003450F1">
        <w:rPr>
          <w:rFonts w:ascii="Times New Roman" w:hAnsi="Times New Roman" w:cs="Times New Roman"/>
          <w:sz w:val="24"/>
          <w:szCs w:val="24"/>
          <w:lang w:val="en-US"/>
        </w:rPr>
        <w:t xml:space="preserve">question 12). </w:t>
      </w:r>
    </w:p>
    <w:p w14:paraId="150DF55F" w14:textId="21C3A698" w:rsidR="006F1336" w:rsidRPr="003450F1" w:rsidRDefault="006F1336"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More in general, t</w:t>
      </w:r>
      <w:r w:rsidR="00DB2CBC" w:rsidRPr="003450F1">
        <w:rPr>
          <w:rFonts w:ascii="Times New Roman" w:hAnsi="Times New Roman" w:cs="Times New Roman"/>
          <w:sz w:val="24"/>
          <w:szCs w:val="24"/>
          <w:lang w:val="en-US"/>
        </w:rPr>
        <w:t>he</w:t>
      </w:r>
      <w:r w:rsidRPr="003450F1">
        <w:rPr>
          <w:rFonts w:ascii="Times New Roman" w:hAnsi="Times New Roman" w:cs="Times New Roman"/>
          <w:sz w:val="24"/>
          <w:szCs w:val="24"/>
          <w:lang w:val="en-US"/>
        </w:rPr>
        <w:t xml:space="preserve"> Law of 2 August 2002 only allows </w:t>
      </w:r>
      <w:r w:rsidR="00752002" w:rsidRPr="003450F1">
        <w:rPr>
          <w:rFonts w:ascii="Times New Roman" w:hAnsi="Times New Roman" w:cs="Times New Roman"/>
          <w:sz w:val="24"/>
          <w:szCs w:val="24"/>
          <w:lang w:val="en-US"/>
        </w:rPr>
        <w:t xml:space="preserve">for </w:t>
      </w:r>
      <w:r w:rsidRPr="003450F1">
        <w:rPr>
          <w:rFonts w:ascii="Times New Roman" w:hAnsi="Times New Roman" w:cs="Times New Roman"/>
          <w:sz w:val="24"/>
          <w:szCs w:val="24"/>
          <w:lang w:val="en-US"/>
        </w:rPr>
        <w:t xml:space="preserve">the processing of personal data if such processing is necessary </w:t>
      </w:r>
      <w:r w:rsidR="00DB2CBC" w:rsidRPr="003450F1">
        <w:rPr>
          <w:rFonts w:ascii="Times New Roman" w:hAnsi="Times New Roman" w:cs="Times New Roman"/>
          <w:sz w:val="24"/>
          <w:szCs w:val="24"/>
          <w:lang w:val="en-US"/>
        </w:rPr>
        <w:t>for the ‘controller’ (in the meaning of Directive 95/46/EC)</w:t>
      </w:r>
      <w:r w:rsidR="00DB2CBC" w:rsidRPr="003450F1">
        <w:rPr>
          <w:rStyle w:val="Odwoanieprzypisudolnego"/>
          <w:rFonts w:ascii="Times New Roman" w:hAnsi="Times New Roman" w:cs="Times New Roman"/>
          <w:sz w:val="24"/>
          <w:szCs w:val="24"/>
          <w:lang w:val="en-US"/>
        </w:rPr>
        <w:footnoteReference w:id="59"/>
      </w:r>
      <w:r w:rsidR="00DB2CBC"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to meet a legal obligation</w:t>
      </w:r>
      <w:r w:rsidR="00DB2CBC" w:rsidRPr="003450F1">
        <w:rPr>
          <w:rFonts w:ascii="Times New Roman" w:hAnsi="Times New Roman" w:cs="Times New Roman"/>
          <w:sz w:val="24"/>
          <w:szCs w:val="24"/>
          <w:lang w:val="en-US"/>
        </w:rPr>
        <w:t>.</w:t>
      </w:r>
      <w:r w:rsidR="00DB2CBC" w:rsidRPr="003450F1">
        <w:rPr>
          <w:rStyle w:val="Odwoanieprzypisudolnego"/>
          <w:rFonts w:ascii="Times New Roman" w:hAnsi="Times New Roman" w:cs="Times New Roman"/>
          <w:sz w:val="24"/>
          <w:szCs w:val="24"/>
          <w:lang w:val="en-US"/>
        </w:rPr>
        <w:footnoteReference w:id="60"/>
      </w:r>
      <w:r w:rsidR="00DB2CBC" w:rsidRPr="003450F1">
        <w:rPr>
          <w:rFonts w:ascii="Times New Roman" w:hAnsi="Times New Roman" w:cs="Times New Roman"/>
          <w:sz w:val="24"/>
          <w:szCs w:val="24"/>
          <w:lang w:val="en-US"/>
        </w:rPr>
        <w:t xml:space="preserve"> In particular, the processing of data in the context of criminal investigations and criminal prosecutions must comply with the provisions laid down in the Code of </w:t>
      </w:r>
      <w:r w:rsidR="00752002" w:rsidRPr="003450F1">
        <w:rPr>
          <w:rFonts w:ascii="Times New Roman" w:hAnsi="Times New Roman" w:cs="Times New Roman"/>
          <w:sz w:val="24"/>
          <w:szCs w:val="24"/>
          <w:lang w:val="en-US"/>
        </w:rPr>
        <w:t>C</w:t>
      </w:r>
      <w:r w:rsidR="00DB2CBC" w:rsidRPr="003450F1">
        <w:rPr>
          <w:rFonts w:ascii="Times New Roman" w:hAnsi="Times New Roman" w:cs="Times New Roman"/>
          <w:sz w:val="24"/>
          <w:szCs w:val="24"/>
          <w:lang w:val="en-US"/>
        </w:rPr>
        <w:t>riminal</w:t>
      </w:r>
      <w:r w:rsidR="00752002" w:rsidRPr="003450F1">
        <w:rPr>
          <w:rFonts w:ascii="Times New Roman" w:hAnsi="Times New Roman" w:cs="Times New Roman"/>
          <w:sz w:val="24"/>
          <w:szCs w:val="24"/>
          <w:lang w:val="en-US"/>
        </w:rPr>
        <w:t xml:space="preserve"> </w:t>
      </w:r>
      <w:r w:rsidR="00752002" w:rsidRPr="003450F1">
        <w:rPr>
          <w:rFonts w:ascii="Times New Roman" w:hAnsi="Times New Roman" w:cs="Times New Roman"/>
          <w:sz w:val="24"/>
          <w:szCs w:val="24"/>
          <w:lang w:val="en-US"/>
        </w:rPr>
        <w:lastRenderedPageBreak/>
        <w:t>P</w:t>
      </w:r>
      <w:r w:rsidR="00DB2CBC" w:rsidRPr="003450F1">
        <w:rPr>
          <w:rFonts w:ascii="Times New Roman" w:hAnsi="Times New Roman" w:cs="Times New Roman"/>
          <w:sz w:val="24"/>
          <w:szCs w:val="24"/>
          <w:lang w:val="en-US"/>
        </w:rPr>
        <w:t>rocedure.</w:t>
      </w:r>
      <w:r w:rsidR="00DB2CBC" w:rsidRPr="003450F1">
        <w:rPr>
          <w:rStyle w:val="Odwoanieprzypisudolnego"/>
          <w:rFonts w:ascii="Times New Roman" w:hAnsi="Times New Roman" w:cs="Times New Roman"/>
          <w:sz w:val="24"/>
          <w:szCs w:val="24"/>
          <w:lang w:val="en-US"/>
        </w:rPr>
        <w:footnoteReference w:id="61"/>
      </w:r>
      <w:r w:rsidR="00DB2CBC" w:rsidRPr="003450F1">
        <w:rPr>
          <w:rFonts w:ascii="Times New Roman" w:hAnsi="Times New Roman" w:cs="Times New Roman"/>
          <w:sz w:val="24"/>
          <w:szCs w:val="24"/>
          <w:lang w:val="en-US"/>
        </w:rPr>
        <w:t xml:space="preserve"> Non-compliance with the foregoing provisions of the Law of 2 August 2002 is punishable by a prison sentence of eight days up to one year and by a fine of 251 up to 125,000 euros or by one of these penalties only.</w:t>
      </w:r>
      <w:r w:rsidR="00DB2CBC" w:rsidRPr="003450F1">
        <w:rPr>
          <w:rStyle w:val="Odwoanieprzypisudolnego"/>
          <w:rFonts w:ascii="Times New Roman" w:hAnsi="Times New Roman" w:cs="Times New Roman"/>
          <w:sz w:val="24"/>
          <w:szCs w:val="24"/>
          <w:lang w:val="en-US"/>
        </w:rPr>
        <w:footnoteReference w:id="62"/>
      </w:r>
    </w:p>
    <w:p w14:paraId="13606644" w14:textId="45836DD6" w:rsidR="00FA16E7" w:rsidRPr="003450F1" w:rsidRDefault="00FA16E7"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In the following paragraphs, </w:t>
      </w:r>
      <w:r w:rsidR="00E03A15" w:rsidRPr="003450F1">
        <w:rPr>
          <w:rFonts w:ascii="Times New Roman" w:hAnsi="Times New Roman" w:cs="Times New Roman"/>
          <w:sz w:val="24"/>
          <w:szCs w:val="24"/>
          <w:lang w:val="en-US"/>
        </w:rPr>
        <w:t>we will discuss in more detail the legal requirements for the access of judicial authorities to, respectively, subscriber and user data, traffic data, stored content and the interception of content while being transmitted.</w:t>
      </w:r>
    </w:p>
    <w:p w14:paraId="726FCA92" w14:textId="77777777" w:rsidR="00651E6E" w:rsidRPr="003450F1" w:rsidRDefault="00651E6E" w:rsidP="00D3525A">
      <w:pPr>
        <w:pStyle w:val="Hoofdtekst"/>
        <w:spacing w:after="120"/>
        <w:jc w:val="both"/>
        <w:outlineLvl w:val="0"/>
        <w:rPr>
          <w:rFonts w:ascii="Times New Roman" w:hAnsi="Times New Roman" w:cs="Times New Roman"/>
          <w:b/>
          <w:sz w:val="24"/>
          <w:szCs w:val="24"/>
          <w:lang w:val="en-US"/>
        </w:rPr>
      </w:pPr>
    </w:p>
    <w:p w14:paraId="3F7AC45F" w14:textId="5E1988B3" w:rsidR="001A711E" w:rsidRPr="003450F1" w:rsidRDefault="001A711E" w:rsidP="00D3525A">
      <w:pPr>
        <w:pStyle w:val="Hoofdtekst"/>
        <w:spacing w:after="120"/>
        <w:jc w:val="both"/>
        <w:outlineLvl w:val="0"/>
        <w:rPr>
          <w:rFonts w:ascii="Times New Roman" w:hAnsi="Times New Roman" w:cs="Times New Roman"/>
          <w:b/>
          <w:sz w:val="24"/>
          <w:szCs w:val="24"/>
          <w:lang w:val="en-US"/>
        </w:rPr>
      </w:pPr>
      <w:r w:rsidRPr="003450F1">
        <w:rPr>
          <w:rFonts w:ascii="Times New Roman" w:hAnsi="Times New Roman" w:cs="Times New Roman"/>
          <w:b/>
          <w:sz w:val="24"/>
          <w:szCs w:val="24"/>
          <w:lang w:val="en-US"/>
        </w:rPr>
        <w:t xml:space="preserve">Subscriber </w:t>
      </w:r>
      <w:r w:rsidR="00E03A15" w:rsidRPr="003450F1">
        <w:rPr>
          <w:rFonts w:ascii="Times New Roman" w:hAnsi="Times New Roman" w:cs="Times New Roman"/>
          <w:b/>
          <w:sz w:val="24"/>
          <w:szCs w:val="24"/>
          <w:lang w:val="en-US"/>
        </w:rPr>
        <w:t xml:space="preserve">and user </w:t>
      </w:r>
      <w:r w:rsidRPr="003450F1">
        <w:rPr>
          <w:rFonts w:ascii="Times New Roman" w:hAnsi="Times New Roman" w:cs="Times New Roman"/>
          <w:b/>
          <w:sz w:val="24"/>
          <w:szCs w:val="24"/>
          <w:lang w:val="en-US"/>
        </w:rPr>
        <w:t>data</w:t>
      </w:r>
    </w:p>
    <w:p w14:paraId="63CC59DC" w14:textId="2044B309"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Generally speaking, information identifying subscribers and users of </w:t>
      </w:r>
      <w:r w:rsidR="00BE0C40" w:rsidRPr="003450F1">
        <w:rPr>
          <w:rFonts w:ascii="Times New Roman" w:hAnsi="Times New Roman" w:cs="Times New Roman"/>
          <w:sz w:val="24"/>
          <w:szCs w:val="24"/>
          <w:lang w:val="en-US"/>
        </w:rPr>
        <w:t>electronic (as well as</w:t>
      </w:r>
      <w:r w:rsidRPr="003450F1">
        <w:rPr>
          <w:rFonts w:ascii="Times New Roman" w:hAnsi="Times New Roman" w:cs="Times New Roman"/>
          <w:sz w:val="24"/>
          <w:szCs w:val="24"/>
          <w:lang w:val="en-US"/>
        </w:rPr>
        <w:t xml:space="preserve"> postal) </w:t>
      </w:r>
      <w:r w:rsidR="00BE0C40" w:rsidRPr="003450F1">
        <w:rPr>
          <w:rFonts w:ascii="Times New Roman" w:hAnsi="Times New Roman" w:cs="Times New Roman"/>
          <w:sz w:val="24"/>
          <w:szCs w:val="24"/>
          <w:lang w:val="en-US"/>
        </w:rPr>
        <w:t>communications services shall be</w:t>
      </w:r>
      <w:r w:rsidRPr="003450F1">
        <w:rPr>
          <w:rFonts w:ascii="Times New Roman" w:hAnsi="Times New Roman" w:cs="Times New Roman"/>
          <w:sz w:val="24"/>
          <w:szCs w:val="24"/>
          <w:lang w:val="en-US"/>
        </w:rPr>
        <w:t xml:space="preserve"> passed </w:t>
      </w:r>
      <w:r w:rsidR="00996909" w:rsidRPr="003450F1">
        <w:rPr>
          <w:rFonts w:ascii="Times New Roman" w:hAnsi="Times New Roman" w:cs="Times New Roman"/>
          <w:sz w:val="24"/>
          <w:szCs w:val="24"/>
          <w:lang w:val="en-US"/>
        </w:rPr>
        <w:t xml:space="preserve">on </w:t>
      </w:r>
      <w:r w:rsidRPr="003450F1">
        <w:rPr>
          <w:rFonts w:ascii="Times New Roman" w:hAnsi="Times New Roman" w:cs="Times New Roman"/>
          <w:sz w:val="24"/>
          <w:szCs w:val="24"/>
          <w:lang w:val="en-US"/>
        </w:rPr>
        <w:t xml:space="preserve">by the operators and service providers to the </w:t>
      </w:r>
      <w:proofErr w:type="spellStart"/>
      <w:r w:rsidRPr="003450F1">
        <w:rPr>
          <w:rFonts w:ascii="Times New Roman" w:hAnsi="Times New Roman" w:cs="Times New Roman"/>
          <w:i/>
          <w:sz w:val="24"/>
          <w:szCs w:val="24"/>
          <w:lang w:val="en-US"/>
        </w:rPr>
        <w:t>Institut</w:t>
      </w:r>
      <w:proofErr w:type="spellEnd"/>
      <w:r w:rsidRPr="003450F1">
        <w:rPr>
          <w:rFonts w:ascii="Times New Roman" w:hAnsi="Times New Roman" w:cs="Times New Roman"/>
          <w:i/>
          <w:sz w:val="24"/>
          <w:szCs w:val="24"/>
          <w:lang w:val="en-US"/>
        </w:rPr>
        <w:t xml:space="preserve"> </w:t>
      </w:r>
      <w:proofErr w:type="spellStart"/>
      <w:r w:rsidRPr="003450F1">
        <w:rPr>
          <w:rFonts w:ascii="Times New Roman" w:hAnsi="Times New Roman" w:cs="Times New Roman"/>
          <w:i/>
          <w:sz w:val="24"/>
          <w:szCs w:val="24"/>
          <w:lang w:val="en-US"/>
        </w:rPr>
        <w:t>luxembourgeois</w:t>
      </w:r>
      <w:proofErr w:type="spellEnd"/>
      <w:r w:rsidRPr="003450F1">
        <w:rPr>
          <w:rFonts w:ascii="Times New Roman" w:hAnsi="Times New Roman" w:cs="Times New Roman"/>
          <w:i/>
          <w:sz w:val="24"/>
          <w:szCs w:val="24"/>
          <w:lang w:val="en-US"/>
        </w:rPr>
        <w:t xml:space="preserve"> de </w:t>
      </w:r>
      <w:proofErr w:type="spellStart"/>
      <w:r w:rsidRPr="003450F1">
        <w:rPr>
          <w:rFonts w:ascii="Times New Roman" w:hAnsi="Times New Roman" w:cs="Times New Roman"/>
          <w:i/>
          <w:sz w:val="24"/>
          <w:szCs w:val="24"/>
          <w:lang w:val="en-US"/>
        </w:rPr>
        <w:t>régulation</w:t>
      </w:r>
      <w:proofErr w:type="spellEnd"/>
      <w:r w:rsidRPr="003450F1">
        <w:rPr>
          <w:rFonts w:ascii="Times New Roman" w:hAnsi="Times New Roman" w:cs="Times New Roman"/>
          <w:sz w:val="24"/>
          <w:szCs w:val="24"/>
          <w:lang w:val="en-US"/>
        </w:rPr>
        <w:t xml:space="preserve"> (</w:t>
      </w:r>
      <w:r w:rsidR="00364CCA" w:rsidRPr="003450F1">
        <w:rPr>
          <w:rFonts w:ascii="Times New Roman" w:hAnsi="Times New Roman" w:cs="Times New Roman"/>
          <w:sz w:val="24"/>
          <w:szCs w:val="24"/>
          <w:lang w:val="en-US"/>
        </w:rPr>
        <w:t>hereinafter: the Institute).</w:t>
      </w:r>
      <w:r w:rsidR="00364CCA" w:rsidRPr="003450F1">
        <w:rPr>
          <w:rStyle w:val="Odwoanieprzypisudolnego"/>
          <w:rFonts w:ascii="Times New Roman" w:hAnsi="Times New Roman" w:cs="Times New Roman"/>
          <w:sz w:val="24"/>
          <w:szCs w:val="24"/>
          <w:lang w:val="en-US"/>
        </w:rPr>
        <w:footnoteReference w:id="63"/>
      </w:r>
    </w:p>
    <w:p w14:paraId="31A03599" w14:textId="76A6EA5D"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Subsequently, all requests regarding information on subscribers, users and the services they use, have to be addressed to the above Institute, which will </w:t>
      </w:r>
      <w:r w:rsidR="00BE0C40" w:rsidRPr="003450F1">
        <w:rPr>
          <w:rFonts w:ascii="Times New Roman" w:hAnsi="Times New Roman" w:cs="Times New Roman"/>
          <w:sz w:val="24"/>
          <w:szCs w:val="24"/>
          <w:lang w:val="en-US"/>
        </w:rPr>
        <w:t xml:space="preserve">then </w:t>
      </w:r>
      <w:r w:rsidRPr="003450F1">
        <w:rPr>
          <w:rFonts w:ascii="Times New Roman" w:hAnsi="Times New Roman" w:cs="Times New Roman"/>
          <w:sz w:val="24"/>
          <w:szCs w:val="24"/>
          <w:lang w:val="en-US"/>
        </w:rPr>
        <w:t>verif</w:t>
      </w:r>
      <w:r w:rsidR="009019EE" w:rsidRPr="003450F1">
        <w:rPr>
          <w:rFonts w:ascii="Times New Roman" w:hAnsi="Times New Roman" w:cs="Times New Roman"/>
          <w:sz w:val="24"/>
          <w:szCs w:val="24"/>
          <w:lang w:val="en-US"/>
        </w:rPr>
        <w:t>y</w:t>
      </w:r>
      <w:r w:rsidRPr="003450F1">
        <w:rPr>
          <w:rFonts w:ascii="Times New Roman" w:hAnsi="Times New Roman" w:cs="Times New Roman"/>
          <w:sz w:val="24"/>
          <w:szCs w:val="24"/>
          <w:lang w:val="en-US"/>
        </w:rPr>
        <w:t xml:space="preserve"> whether the person requesting the information has a right to access such data. More precisely, Article 3 </w:t>
      </w:r>
      <w:r w:rsidR="00F84CD0" w:rsidRPr="003450F1">
        <w:rPr>
          <w:rFonts w:ascii="Times New Roman" w:hAnsi="Times New Roman" w:cs="Times New Roman"/>
          <w:sz w:val="24"/>
          <w:szCs w:val="24"/>
          <w:lang w:val="en-US"/>
        </w:rPr>
        <w:t xml:space="preserve">of the </w:t>
      </w:r>
      <w:r w:rsidRPr="003450F1">
        <w:rPr>
          <w:rFonts w:ascii="Times New Roman" w:hAnsi="Times New Roman" w:cs="Times New Roman"/>
          <w:sz w:val="24"/>
          <w:szCs w:val="24"/>
          <w:lang w:val="en-US"/>
        </w:rPr>
        <w:t>Regulation of 21 December 2004 states:</w:t>
      </w:r>
    </w:p>
    <w:p w14:paraId="6A34FEE7" w14:textId="6BF06BCE" w:rsidR="001A711E" w:rsidRPr="003450F1" w:rsidRDefault="00017ADA"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 xml:space="preserve">1. All requests for access to data </w:t>
      </w:r>
      <w:r w:rsidR="001B4E92" w:rsidRPr="003450F1">
        <w:rPr>
          <w:rFonts w:ascii="Times New Roman" w:hAnsi="Times New Roman" w:cs="Times New Roman"/>
          <w:sz w:val="24"/>
          <w:szCs w:val="24"/>
          <w:lang w:val="en-US"/>
        </w:rPr>
        <w:t>relat</w:t>
      </w:r>
      <w:r w:rsidR="00996909" w:rsidRPr="003450F1">
        <w:rPr>
          <w:rFonts w:ascii="Times New Roman" w:hAnsi="Times New Roman" w:cs="Times New Roman"/>
          <w:sz w:val="24"/>
          <w:szCs w:val="24"/>
          <w:lang w:val="en-US"/>
        </w:rPr>
        <w:t>ing</w:t>
      </w:r>
      <w:r w:rsidR="001B4E92" w:rsidRPr="003450F1">
        <w:rPr>
          <w:rFonts w:ascii="Times New Roman" w:hAnsi="Times New Roman" w:cs="Times New Roman"/>
          <w:sz w:val="24"/>
          <w:szCs w:val="24"/>
          <w:lang w:val="en-US"/>
        </w:rPr>
        <w:t xml:space="preserve"> </w:t>
      </w:r>
      <w:r w:rsidR="001A711E" w:rsidRPr="003450F1">
        <w:rPr>
          <w:rFonts w:ascii="Times New Roman" w:hAnsi="Times New Roman" w:cs="Times New Roman"/>
          <w:sz w:val="24"/>
          <w:szCs w:val="24"/>
          <w:lang w:val="en-US"/>
        </w:rPr>
        <w:t>to subscribers, users a</w:t>
      </w:r>
      <w:r w:rsidR="00AA010F" w:rsidRPr="003450F1">
        <w:rPr>
          <w:rFonts w:ascii="Times New Roman" w:hAnsi="Times New Roman" w:cs="Times New Roman"/>
          <w:sz w:val="24"/>
          <w:szCs w:val="24"/>
          <w:lang w:val="en-US"/>
        </w:rPr>
        <w:t>nd their services</w:t>
      </w:r>
      <w:r w:rsidR="001B4E92" w:rsidRPr="003450F1">
        <w:rPr>
          <w:rFonts w:ascii="Times New Roman" w:hAnsi="Times New Roman" w:cs="Times New Roman"/>
          <w:sz w:val="24"/>
          <w:szCs w:val="24"/>
          <w:lang w:val="en-US"/>
        </w:rPr>
        <w:t xml:space="preserve"> </w:t>
      </w:r>
      <w:r w:rsidR="00F84CD0" w:rsidRPr="003450F1">
        <w:rPr>
          <w:rFonts w:ascii="Times New Roman" w:hAnsi="Times New Roman" w:cs="Times New Roman"/>
          <w:sz w:val="24"/>
          <w:szCs w:val="24"/>
          <w:lang w:val="en-US"/>
        </w:rPr>
        <w:t>are made through</w:t>
      </w:r>
      <w:r w:rsidR="001B4E92" w:rsidRPr="003450F1">
        <w:rPr>
          <w:rFonts w:ascii="Times New Roman" w:hAnsi="Times New Roman" w:cs="Times New Roman"/>
          <w:sz w:val="24"/>
          <w:szCs w:val="24"/>
          <w:lang w:val="en-US"/>
        </w:rPr>
        <w:t xml:space="preserve"> the</w:t>
      </w:r>
      <w:r w:rsidR="001A711E" w:rsidRPr="003450F1">
        <w:rPr>
          <w:rFonts w:ascii="Times New Roman" w:hAnsi="Times New Roman" w:cs="Times New Roman"/>
          <w:sz w:val="24"/>
          <w:szCs w:val="24"/>
          <w:lang w:val="en-US"/>
        </w:rPr>
        <w:t xml:space="preserve"> Institut</w:t>
      </w:r>
      <w:r w:rsidRPr="003450F1">
        <w:rPr>
          <w:rFonts w:ascii="Times New Roman" w:hAnsi="Times New Roman" w:cs="Times New Roman"/>
          <w:sz w:val="24"/>
          <w:szCs w:val="24"/>
          <w:lang w:val="en-US"/>
        </w:rPr>
        <w:t>e</w:t>
      </w:r>
      <w:r w:rsidR="001A711E" w:rsidRPr="003450F1">
        <w:rPr>
          <w:rFonts w:ascii="Times New Roman" w:hAnsi="Times New Roman" w:cs="Times New Roman"/>
          <w:sz w:val="24"/>
          <w:szCs w:val="24"/>
          <w:lang w:val="en-US"/>
        </w:rPr>
        <w:t>. The latter receives the requests, validates them, renders them anonymous and examines the files made available by the operators and the providers of the respective services.</w:t>
      </w:r>
    </w:p>
    <w:p w14:paraId="0E23D955" w14:textId="7491494E" w:rsidR="001A711E" w:rsidRPr="003450F1" w:rsidRDefault="001A711E"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2. The validation </w:t>
      </w:r>
      <w:r w:rsidR="00C5485B" w:rsidRPr="003450F1">
        <w:rPr>
          <w:rFonts w:ascii="Times New Roman" w:hAnsi="Times New Roman" w:cs="Times New Roman"/>
          <w:sz w:val="24"/>
          <w:szCs w:val="24"/>
          <w:lang w:val="en-US"/>
        </w:rPr>
        <w:t xml:space="preserve">referred to in </w:t>
      </w:r>
      <w:r w:rsidRPr="003450F1">
        <w:rPr>
          <w:rFonts w:ascii="Times New Roman" w:hAnsi="Times New Roman" w:cs="Times New Roman"/>
          <w:sz w:val="24"/>
          <w:szCs w:val="24"/>
          <w:lang w:val="en-US"/>
        </w:rPr>
        <w:t>para</w:t>
      </w:r>
      <w:r w:rsidR="00426BAD" w:rsidRPr="003450F1">
        <w:rPr>
          <w:rFonts w:ascii="Times New Roman" w:hAnsi="Times New Roman" w:cs="Times New Roman"/>
          <w:sz w:val="24"/>
          <w:szCs w:val="24"/>
          <w:lang w:val="en-US"/>
        </w:rPr>
        <w:t>graph</w:t>
      </w:r>
      <w:r w:rsidRPr="003450F1">
        <w:rPr>
          <w:rFonts w:ascii="Times New Roman" w:hAnsi="Times New Roman" w:cs="Times New Roman"/>
          <w:sz w:val="24"/>
          <w:szCs w:val="24"/>
          <w:lang w:val="en-US"/>
        </w:rPr>
        <w:t xml:space="preserve"> </w:t>
      </w:r>
      <w:r w:rsidR="00426BAD" w:rsidRPr="003450F1">
        <w:rPr>
          <w:rFonts w:ascii="Times New Roman" w:hAnsi="Times New Roman" w:cs="Times New Roman"/>
          <w:sz w:val="24"/>
          <w:szCs w:val="24"/>
          <w:lang w:val="en-US"/>
        </w:rPr>
        <w:t xml:space="preserve">(1) </w:t>
      </w:r>
      <w:r w:rsidRPr="003450F1">
        <w:rPr>
          <w:rFonts w:ascii="Times New Roman" w:hAnsi="Times New Roman" w:cs="Times New Roman"/>
          <w:sz w:val="24"/>
          <w:szCs w:val="24"/>
          <w:lang w:val="en-US"/>
        </w:rPr>
        <w:t xml:space="preserve">consists in </w:t>
      </w:r>
      <w:r w:rsidR="00C5485B" w:rsidRPr="003450F1">
        <w:rPr>
          <w:rFonts w:ascii="Times New Roman" w:hAnsi="Times New Roman" w:cs="Times New Roman"/>
          <w:sz w:val="24"/>
          <w:szCs w:val="24"/>
          <w:lang w:val="en-US"/>
        </w:rPr>
        <w:t>a</w:t>
      </w:r>
      <w:r w:rsidRPr="003450F1">
        <w:rPr>
          <w:rFonts w:ascii="Times New Roman" w:hAnsi="Times New Roman" w:cs="Times New Roman"/>
          <w:sz w:val="24"/>
          <w:szCs w:val="24"/>
          <w:lang w:val="en-US"/>
        </w:rPr>
        <w:t xml:space="preserve"> verification of the applicant’s access rights. To this end, the hierarchically superior of the legal authorities and </w:t>
      </w:r>
      <w:r w:rsidR="00C5485B" w:rsidRPr="003450F1">
        <w:rPr>
          <w:rFonts w:ascii="Times New Roman" w:hAnsi="Times New Roman" w:cs="Times New Roman"/>
          <w:sz w:val="24"/>
          <w:szCs w:val="24"/>
          <w:lang w:val="en-US"/>
        </w:rPr>
        <w:t>bodies</w:t>
      </w:r>
      <w:r w:rsidRPr="003450F1">
        <w:rPr>
          <w:rFonts w:ascii="Times New Roman" w:hAnsi="Times New Roman" w:cs="Times New Roman"/>
          <w:sz w:val="24"/>
          <w:szCs w:val="24"/>
          <w:lang w:val="en-US"/>
        </w:rPr>
        <w:t xml:space="preserve"> </w:t>
      </w:r>
      <w:r w:rsidR="005A29E8" w:rsidRPr="003450F1">
        <w:rPr>
          <w:rFonts w:ascii="Times New Roman" w:hAnsi="Times New Roman" w:cs="Times New Roman"/>
          <w:sz w:val="24"/>
          <w:szCs w:val="24"/>
          <w:lang w:val="en-US"/>
        </w:rPr>
        <w:t xml:space="preserve">mentioned </w:t>
      </w:r>
      <w:r w:rsidRPr="003450F1">
        <w:rPr>
          <w:rFonts w:ascii="Times New Roman" w:hAnsi="Times New Roman" w:cs="Times New Roman"/>
          <w:sz w:val="24"/>
          <w:szCs w:val="24"/>
          <w:lang w:val="en-US"/>
        </w:rPr>
        <w:t>in Article 41 para</w:t>
      </w:r>
      <w:r w:rsidR="00502DFB" w:rsidRPr="003450F1">
        <w:rPr>
          <w:rFonts w:ascii="Times New Roman" w:hAnsi="Times New Roman" w:cs="Times New Roman"/>
          <w:sz w:val="24"/>
          <w:szCs w:val="24"/>
          <w:lang w:val="en-US"/>
        </w:rPr>
        <w:t>graph</w:t>
      </w:r>
      <w:r w:rsidRPr="003450F1">
        <w:rPr>
          <w:rFonts w:ascii="Times New Roman" w:hAnsi="Times New Roman" w:cs="Times New Roman"/>
          <w:sz w:val="24"/>
          <w:szCs w:val="24"/>
          <w:lang w:val="en-US"/>
        </w:rPr>
        <w:t xml:space="preserve"> </w:t>
      </w:r>
      <w:r w:rsidR="00502DFB" w:rsidRPr="003450F1">
        <w:rPr>
          <w:rFonts w:ascii="Times New Roman" w:hAnsi="Times New Roman" w:cs="Times New Roman"/>
          <w:sz w:val="24"/>
          <w:szCs w:val="24"/>
          <w:lang w:val="en-US"/>
        </w:rPr>
        <w:t>(</w:t>
      </w:r>
      <w:r w:rsidRPr="003450F1">
        <w:rPr>
          <w:rFonts w:ascii="Times New Roman" w:hAnsi="Times New Roman" w:cs="Times New Roman"/>
          <w:sz w:val="24"/>
          <w:szCs w:val="24"/>
          <w:lang w:val="en-US"/>
        </w:rPr>
        <w:t>1</w:t>
      </w:r>
      <w:r w:rsidR="00502DFB" w:rsidRPr="003450F1">
        <w:rPr>
          <w:rFonts w:ascii="Times New Roman" w:hAnsi="Times New Roman" w:cs="Times New Roman"/>
          <w:sz w:val="24"/>
          <w:szCs w:val="24"/>
          <w:lang w:val="en-US"/>
        </w:rPr>
        <w:t>)</w:t>
      </w:r>
      <w:r w:rsidRPr="003450F1">
        <w:rPr>
          <w:rFonts w:ascii="Times New Roman" w:hAnsi="Times New Roman" w:cs="Times New Roman"/>
          <w:sz w:val="24"/>
          <w:szCs w:val="24"/>
          <w:lang w:val="en-US"/>
        </w:rPr>
        <w:t xml:space="preserve"> of the Law of 2 August 2002 communicates to the Institute a list identifying the persons empowered to enforce the requested access rights. Only the requests for which the requestor has a right of access </w:t>
      </w:r>
      <w:r w:rsidR="00C5485B" w:rsidRPr="003450F1">
        <w:rPr>
          <w:rFonts w:ascii="Times New Roman" w:hAnsi="Times New Roman" w:cs="Times New Roman"/>
          <w:sz w:val="24"/>
          <w:szCs w:val="24"/>
          <w:lang w:val="en-US"/>
        </w:rPr>
        <w:t>allow for</w:t>
      </w:r>
      <w:r w:rsidRPr="003450F1">
        <w:rPr>
          <w:rFonts w:ascii="Times New Roman" w:hAnsi="Times New Roman" w:cs="Times New Roman"/>
          <w:sz w:val="24"/>
          <w:szCs w:val="24"/>
          <w:lang w:val="en-US"/>
        </w:rPr>
        <w:t xml:space="preserve"> an examination</w:t>
      </w:r>
      <w:r w:rsidR="00C5485B"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 xml:space="preserve">of the files of the operators and </w:t>
      </w:r>
      <w:r w:rsidR="00C5485B" w:rsidRPr="003450F1">
        <w:rPr>
          <w:rFonts w:ascii="Times New Roman" w:hAnsi="Times New Roman" w:cs="Times New Roman"/>
          <w:sz w:val="24"/>
          <w:szCs w:val="24"/>
          <w:lang w:val="en-US"/>
        </w:rPr>
        <w:t xml:space="preserve">service </w:t>
      </w:r>
      <w:r w:rsidRPr="003450F1">
        <w:rPr>
          <w:rFonts w:ascii="Times New Roman" w:hAnsi="Times New Roman" w:cs="Times New Roman"/>
          <w:sz w:val="24"/>
          <w:szCs w:val="24"/>
          <w:lang w:val="en-US"/>
        </w:rPr>
        <w:t>providers.</w:t>
      </w:r>
    </w:p>
    <w:p w14:paraId="10555D8F" w14:textId="2BC8E4DB" w:rsidR="001A711E" w:rsidRPr="003450F1" w:rsidRDefault="001A711E"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3. In order to render the requests anonymous, the Institute removes all information </w:t>
      </w:r>
      <w:r w:rsidR="00C5485B" w:rsidRPr="003450F1">
        <w:rPr>
          <w:rFonts w:ascii="Times New Roman" w:hAnsi="Times New Roman" w:cs="Times New Roman"/>
          <w:sz w:val="24"/>
          <w:szCs w:val="24"/>
          <w:lang w:val="en-US"/>
        </w:rPr>
        <w:t xml:space="preserve">concerning </w:t>
      </w:r>
      <w:r w:rsidRPr="003450F1">
        <w:rPr>
          <w:rFonts w:ascii="Times New Roman" w:hAnsi="Times New Roman" w:cs="Times New Roman"/>
          <w:sz w:val="24"/>
          <w:szCs w:val="24"/>
          <w:lang w:val="en-US"/>
        </w:rPr>
        <w:t xml:space="preserve">the identity of the requestor before every examination of files made available by the operators and </w:t>
      </w:r>
      <w:r w:rsidR="00C5485B" w:rsidRPr="003450F1">
        <w:rPr>
          <w:rFonts w:ascii="Times New Roman" w:hAnsi="Times New Roman" w:cs="Times New Roman"/>
          <w:sz w:val="24"/>
          <w:szCs w:val="24"/>
          <w:lang w:val="en-US"/>
        </w:rPr>
        <w:t xml:space="preserve">service </w:t>
      </w:r>
      <w:r w:rsidRPr="003450F1">
        <w:rPr>
          <w:rFonts w:ascii="Times New Roman" w:hAnsi="Times New Roman" w:cs="Times New Roman"/>
          <w:sz w:val="24"/>
          <w:szCs w:val="24"/>
          <w:lang w:val="en-US"/>
        </w:rPr>
        <w:t>providers.</w:t>
      </w:r>
    </w:p>
    <w:p w14:paraId="35F2FBF6" w14:textId="508602E0" w:rsidR="001A711E" w:rsidRPr="003450F1" w:rsidRDefault="001A711E"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4. The Institute gathers the re</w:t>
      </w:r>
      <w:r w:rsidR="00996909" w:rsidRPr="003450F1">
        <w:rPr>
          <w:rFonts w:ascii="Times New Roman" w:hAnsi="Times New Roman" w:cs="Times New Roman"/>
          <w:sz w:val="24"/>
          <w:szCs w:val="24"/>
          <w:lang w:val="en-US"/>
        </w:rPr>
        <w:t>s</w:t>
      </w:r>
      <w:r w:rsidRPr="003450F1">
        <w:rPr>
          <w:rFonts w:ascii="Times New Roman" w:hAnsi="Times New Roman" w:cs="Times New Roman"/>
          <w:sz w:val="24"/>
          <w:szCs w:val="24"/>
          <w:lang w:val="en-US"/>
        </w:rPr>
        <w:t xml:space="preserve">ponses emanating from the examination of the files made available by the operators and </w:t>
      </w:r>
      <w:r w:rsidR="00C5485B" w:rsidRPr="003450F1">
        <w:rPr>
          <w:rFonts w:ascii="Times New Roman" w:hAnsi="Times New Roman" w:cs="Times New Roman"/>
          <w:sz w:val="24"/>
          <w:szCs w:val="24"/>
          <w:lang w:val="en-US"/>
        </w:rPr>
        <w:t xml:space="preserve">service providers </w:t>
      </w:r>
      <w:r w:rsidRPr="003450F1">
        <w:rPr>
          <w:rFonts w:ascii="Times New Roman" w:hAnsi="Times New Roman" w:cs="Times New Roman"/>
          <w:sz w:val="24"/>
          <w:szCs w:val="24"/>
          <w:lang w:val="en-US"/>
        </w:rPr>
        <w:t xml:space="preserve">and </w:t>
      </w:r>
      <w:r w:rsidR="007E17DA" w:rsidRPr="003450F1">
        <w:rPr>
          <w:rFonts w:ascii="Times New Roman" w:hAnsi="Times New Roman" w:cs="Times New Roman"/>
          <w:sz w:val="24"/>
          <w:szCs w:val="24"/>
          <w:lang w:val="en-US"/>
        </w:rPr>
        <w:t xml:space="preserve">transmits </w:t>
      </w:r>
      <w:r w:rsidRPr="003450F1">
        <w:rPr>
          <w:rFonts w:ascii="Times New Roman" w:hAnsi="Times New Roman" w:cs="Times New Roman"/>
          <w:sz w:val="24"/>
          <w:szCs w:val="24"/>
          <w:lang w:val="en-US"/>
        </w:rPr>
        <w:t>them to the initial requestor</w:t>
      </w:r>
      <w:r w:rsidR="007E17DA" w:rsidRPr="003450F1">
        <w:rPr>
          <w:rFonts w:ascii="Times New Roman" w:hAnsi="Times New Roman" w:cs="Times New Roman"/>
          <w:sz w:val="24"/>
          <w:szCs w:val="24"/>
          <w:lang w:val="en-US"/>
        </w:rPr>
        <w:t xml:space="preserve"> in a synthetized manner</w:t>
      </w:r>
      <w:r w:rsidRPr="003450F1">
        <w:rPr>
          <w:rFonts w:ascii="Times New Roman" w:hAnsi="Times New Roman" w:cs="Times New Roman"/>
          <w:sz w:val="24"/>
          <w:szCs w:val="24"/>
          <w:lang w:val="en-US"/>
        </w:rPr>
        <w:t>.</w:t>
      </w:r>
      <w:r w:rsidR="00017ADA" w:rsidRPr="003450F1">
        <w:rPr>
          <w:rFonts w:ascii="Times New Roman" w:hAnsi="Times New Roman" w:cs="Times New Roman"/>
          <w:sz w:val="24"/>
          <w:szCs w:val="24"/>
          <w:lang w:val="en-US"/>
        </w:rPr>
        <w:t>’</w:t>
      </w:r>
    </w:p>
    <w:p w14:paraId="4E2789A4" w14:textId="5BFC7848" w:rsidR="00364CCA" w:rsidRPr="003450F1" w:rsidRDefault="00364CCA"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Even the judicial authorities acting on the basis of their competences laid down in the Code of Criminal Procedure, which will be </w:t>
      </w:r>
      <w:r w:rsidR="005A29E8" w:rsidRPr="003450F1">
        <w:rPr>
          <w:rFonts w:ascii="Times New Roman" w:hAnsi="Times New Roman" w:cs="Times New Roman"/>
          <w:sz w:val="24"/>
          <w:szCs w:val="24"/>
          <w:lang w:val="en-US"/>
        </w:rPr>
        <w:t xml:space="preserve">further </w:t>
      </w:r>
      <w:r w:rsidRPr="003450F1">
        <w:rPr>
          <w:rFonts w:ascii="Times New Roman" w:hAnsi="Times New Roman" w:cs="Times New Roman"/>
          <w:sz w:val="24"/>
          <w:szCs w:val="24"/>
          <w:lang w:val="en-US"/>
        </w:rPr>
        <w:t xml:space="preserve">discussed below, have to pass </w:t>
      </w:r>
      <w:r w:rsidR="005A29E8" w:rsidRPr="003450F1">
        <w:rPr>
          <w:rFonts w:ascii="Times New Roman" w:hAnsi="Times New Roman" w:cs="Times New Roman"/>
          <w:sz w:val="24"/>
          <w:szCs w:val="24"/>
          <w:lang w:val="en-US"/>
        </w:rPr>
        <w:t>through</w:t>
      </w:r>
      <w:r w:rsidRPr="003450F1">
        <w:rPr>
          <w:rFonts w:ascii="Times New Roman" w:hAnsi="Times New Roman" w:cs="Times New Roman"/>
          <w:sz w:val="24"/>
          <w:szCs w:val="24"/>
          <w:lang w:val="en-US"/>
        </w:rPr>
        <w:t xml:space="preserve"> the Institute to obtain subscriber and user data of service providers and operators.</w:t>
      </w:r>
      <w:r w:rsidRPr="003450F1">
        <w:rPr>
          <w:rStyle w:val="Odwoanieprzypisudolnego"/>
          <w:rFonts w:ascii="Times New Roman" w:hAnsi="Times New Roman" w:cs="Times New Roman"/>
          <w:sz w:val="24"/>
          <w:szCs w:val="24"/>
          <w:lang w:val="en-US"/>
        </w:rPr>
        <w:footnoteReference w:id="64"/>
      </w:r>
    </w:p>
    <w:p w14:paraId="314A0883" w14:textId="49C3B8D1" w:rsidR="004728E4" w:rsidRPr="003450F1" w:rsidRDefault="004728E4"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Article 4 of the Regulation of 21 December 2004 sets forth which specific data </w:t>
      </w:r>
      <w:r w:rsidR="00BE0C40" w:rsidRPr="003450F1">
        <w:rPr>
          <w:rFonts w:ascii="Times New Roman" w:hAnsi="Times New Roman" w:cs="Times New Roman"/>
          <w:sz w:val="24"/>
          <w:szCs w:val="24"/>
          <w:lang w:val="en-US"/>
        </w:rPr>
        <w:t xml:space="preserve">the operators and providers of electronic communications services have to incorporate in the files they transmit to </w:t>
      </w:r>
      <w:r w:rsidRPr="003450F1">
        <w:rPr>
          <w:rFonts w:ascii="Times New Roman" w:hAnsi="Times New Roman" w:cs="Times New Roman"/>
          <w:sz w:val="24"/>
          <w:szCs w:val="24"/>
          <w:lang w:val="en-US"/>
        </w:rPr>
        <w:t xml:space="preserve">the Institute. With regard to electronic communications services, those files do not only contain </w:t>
      </w:r>
      <w:r w:rsidRPr="003450F1">
        <w:rPr>
          <w:rFonts w:ascii="Times New Roman" w:hAnsi="Times New Roman" w:cs="Times New Roman"/>
          <w:i/>
          <w:sz w:val="24"/>
          <w:szCs w:val="24"/>
          <w:lang w:val="en-US"/>
        </w:rPr>
        <w:t>identification data</w:t>
      </w:r>
      <w:r w:rsidRPr="003450F1">
        <w:rPr>
          <w:rFonts w:ascii="Times New Roman" w:hAnsi="Times New Roman" w:cs="Times New Roman"/>
          <w:sz w:val="24"/>
          <w:szCs w:val="24"/>
          <w:lang w:val="en-US"/>
        </w:rPr>
        <w:t xml:space="preserve"> regarding, for instance, </w:t>
      </w:r>
      <w:r w:rsidR="00651E6E" w:rsidRPr="003450F1">
        <w:rPr>
          <w:rFonts w:ascii="Times New Roman" w:hAnsi="Times New Roman" w:cs="Times New Roman"/>
          <w:sz w:val="24"/>
          <w:szCs w:val="24"/>
          <w:lang w:val="en-US"/>
        </w:rPr>
        <w:t xml:space="preserve">services of </w:t>
      </w:r>
      <w:r w:rsidRPr="003450F1">
        <w:rPr>
          <w:rFonts w:ascii="Times New Roman" w:hAnsi="Times New Roman" w:cs="Times New Roman"/>
          <w:sz w:val="24"/>
          <w:szCs w:val="24"/>
          <w:lang w:val="en-US"/>
        </w:rPr>
        <w:t xml:space="preserve">public telephony, data transmission and text messaging, but they also encompass </w:t>
      </w:r>
      <w:r w:rsidRPr="003450F1">
        <w:rPr>
          <w:rFonts w:ascii="Times New Roman" w:hAnsi="Times New Roman" w:cs="Times New Roman"/>
          <w:i/>
          <w:sz w:val="24"/>
          <w:szCs w:val="24"/>
          <w:lang w:val="en-US"/>
        </w:rPr>
        <w:t>available location data</w:t>
      </w:r>
      <w:r w:rsidRPr="003450F1">
        <w:rPr>
          <w:rFonts w:ascii="Times New Roman" w:hAnsi="Times New Roman" w:cs="Times New Roman"/>
          <w:sz w:val="24"/>
          <w:szCs w:val="24"/>
          <w:lang w:val="en-US"/>
        </w:rPr>
        <w:t>.</w:t>
      </w:r>
      <w:r w:rsidRPr="003450F1">
        <w:rPr>
          <w:rStyle w:val="Odwoanieprzypisudolnego"/>
          <w:rFonts w:ascii="Times New Roman" w:hAnsi="Times New Roman" w:cs="Times New Roman"/>
          <w:sz w:val="24"/>
          <w:szCs w:val="24"/>
          <w:lang w:val="en-US"/>
        </w:rPr>
        <w:footnoteReference w:id="65"/>
      </w:r>
    </w:p>
    <w:p w14:paraId="45B8CB02" w14:textId="6D297D11"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In </w:t>
      </w:r>
      <w:r w:rsidR="00270B0F" w:rsidRPr="003450F1">
        <w:rPr>
          <w:rFonts w:ascii="Times New Roman" w:hAnsi="Times New Roman" w:cs="Times New Roman"/>
          <w:sz w:val="24"/>
          <w:szCs w:val="24"/>
          <w:lang w:val="en-US"/>
        </w:rPr>
        <w:t xml:space="preserve">case of </w:t>
      </w:r>
      <w:r w:rsidRPr="003450F1">
        <w:rPr>
          <w:rFonts w:ascii="Times New Roman" w:hAnsi="Times New Roman" w:cs="Times New Roman"/>
          <w:sz w:val="24"/>
          <w:szCs w:val="24"/>
          <w:lang w:val="en-US"/>
        </w:rPr>
        <w:t xml:space="preserve">special measures </w:t>
      </w:r>
      <w:r w:rsidR="00270B0F" w:rsidRPr="003450F1">
        <w:rPr>
          <w:rFonts w:ascii="Times New Roman" w:hAnsi="Times New Roman" w:cs="Times New Roman"/>
          <w:sz w:val="24"/>
          <w:szCs w:val="24"/>
          <w:lang w:val="en-US"/>
        </w:rPr>
        <w:t>of</w:t>
      </w:r>
      <w:r w:rsidRPr="003450F1">
        <w:rPr>
          <w:rFonts w:ascii="Times New Roman" w:hAnsi="Times New Roman" w:cs="Times New Roman"/>
          <w:sz w:val="24"/>
          <w:szCs w:val="24"/>
          <w:lang w:val="en-US"/>
        </w:rPr>
        <w:t xml:space="preserve"> surveillance</w:t>
      </w:r>
      <w:r w:rsidR="00270B0F" w:rsidRPr="003450F1">
        <w:rPr>
          <w:rFonts w:ascii="Times New Roman" w:hAnsi="Times New Roman" w:cs="Times New Roman"/>
          <w:sz w:val="24"/>
          <w:szCs w:val="24"/>
          <w:lang w:val="en-US"/>
        </w:rPr>
        <w:t xml:space="preserve"> and in cases where the offender is caught in the act</w:t>
      </w:r>
      <w:r w:rsidR="007C4BE7" w:rsidRPr="003450F1">
        <w:rPr>
          <w:rFonts w:ascii="Times New Roman" w:hAnsi="Times New Roman" w:cs="Times New Roman"/>
          <w:sz w:val="24"/>
          <w:szCs w:val="24"/>
          <w:lang w:val="en-US"/>
        </w:rPr>
        <w:t xml:space="preserve"> of committing a crime (‘</w:t>
      </w:r>
      <w:r w:rsidR="007C4BE7" w:rsidRPr="003450F1">
        <w:rPr>
          <w:rFonts w:ascii="Times New Roman" w:hAnsi="Times New Roman" w:cs="Times New Roman"/>
          <w:i/>
          <w:sz w:val="24"/>
          <w:szCs w:val="24"/>
          <w:lang w:val="en-US"/>
        </w:rPr>
        <w:t>crime</w:t>
      </w:r>
      <w:r w:rsidR="00DC3823" w:rsidRPr="003450F1">
        <w:rPr>
          <w:rFonts w:ascii="Times New Roman" w:hAnsi="Times New Roman" w:cs="Times New Roman"/>
          <w:i/>
          <w:sz w:val="24"/>
          <w:szCs w:val="24"/>
          <w:lang w:val="en-US"/>
        </w:rPr>
        <w:t xml:space="preserve"> flagrant</w:t>
      </w:r>
      <w:r w:rsidR="007C4BE7" w:rsidRPr="003450F1">
        <w:rPr>
          <w:rFonts w:ascii="Times New Roman" w:hAnsi="Times New Roman" w:cs="Times New Roman"/>
          <w:sz w:val="24"/>
          <w:szCs w:val="24"/>
          <w:lang w:val="en-US"/>
        </w:rPr>
        <w:t xml:space="preserve">’) or a </w:t>
      </w:r>
      <w:proofErr w:type="spellStart"/>
      <w:r w:rsidR="007C4BE7" w:rsidRPr="003450F1">
        <w:rPr>
          <w:rFonts w:ascii="Times New Roman" w:hAnsi="Times New Roman" w:cs="Times New Roman"/>
          <w:sz w:val="24"/>
          <w:szCs w:val="24"/>
          <w:lang w:val="en-US"/>
        </w:rPr>
        <w:t>misdemeanour</w:t>
      </w:r>
      <w:proofErr w:type="spellEnd"/>
      <w:r w:rsidR="00FF59FC" w:rsidRPr="003450F1">
        <w:rPr>
          <w:rFonts w:ascii="Times New Roman" w:hAnsi="Times New Roman" w:cs="Times New Roman"/>
          <w:sz w:val="24"/>
          <w:szCs w:val="24"/>
          <w:lang w:val="en-US"/>
        </w:rPr>
        <w:t xml:space="preserve"> (‘</w:t>
      </w:r>
      <w:proofErr w:type="spellStart"/>
      <w:r w:rsidR="00FF59FC" w:rsidRPr="003450F1">
        <w:rPr>
          <w:rFonts w:ascii="Times New Roman" w:hAnsi="Times New Roman" w:cs="Times New Roman"/>
          <w:i/>
          <w:sz w:val="24"/>
          <w:szCs w:val="24"/>
          <w:lang w:val="en-US"/>
        </w:rPr>
        <w:t>délit</w:t>
      </w:r>
      <w:proofErr w:type="spellEnd"/>
      <w:r w:rsidR="00DC3823" w:rsidRPr="003450F1">
        <w:rPr>
          <w:rFonts w:ascii="Times New Roman" w:hAnsi="Times New Roman" w:cs="Times New Roman"/>
          <w:i/>
          <w:sz w:val="24"/>
          <w:szCs w:val="24"/>
          <w:lang w:val="en-US"/>
        </w:rPr>
        <w:t xml:space="preserve"> flagrant</w:t>
      </w:r>
      <w:r w:rsidR="00FF59FC" w:rsidRPr="003450F1">
        <w:rPr>
          <w:rFonts w:ascii="Times New Roman" w:hAnsi="Times New Roman" w:cs="Times New Roman"/>
          <w:sz w:val="24"/>
          <w:szCs w:val="24"/>
          <w:lang w:val="en-US"/>
        </w:rPr>
        <w:t>’)</w:t>
      </w:r>
      <w:r w:rsidRPr="003450F1">
        <w:rPr>
          <w:rFonts w:ascii="Times New Roman" w:hAnsi="Times New Roman" w:cs="Times New Roman"/>
          <w:sz w:val="24"/>
          <w:szCs w:val="24"/>
          <w:lang w:val="en-US"/>
        </w:rPr>
        <w:t xml:space="preserve">, </w:t>
      </w:r>
      <w:r w:rsidR="00270B0F" w:rsidRPr="003450F1">
        <w:rPr>
          <w:rFonts w:ascii="Times New Roman" w:hAnsi="Times New Roman" w:cs="Times New Roman"/>
          <w:sz w:val="24"/>
          <w:szCs w:val="24"/>
          <w:lang w:val="en-US"/>
        </w:rPr>
        <w:t xml:space="preserve">judicial authorities can </w:t>
      </w:r>
      <w:r w:rsidR="00BE0C40" w:rsidRPr="003450F1">
        <w:rPr>
          <w:rFonts w:ascii="Times New Roman" w:hAnsi="Times New Roman" w:cs="Times New Roman"/>
          <w:sz w:val="24"/>
          <w:szCs w:val="24"/>
          <w:lang w:val="en-US"/>
        </w:rPr>
        <w:lastRenderedPageBreak/>
        <w:t xml:space="preserve">obtain access to all the information contained in the Institute’s files. This is provided for by </w:t>
      </w:r>
      <w:r w:rsidRPr="003450F1">
        <w:rPr>
          <w:rFonts w:ascii="Times New Roman" w:hAnsi="Times New Roman" w:cs="Times New Roman"/>
          <w:sz w:val="24"/>
          <w:szCs w:val="24"/>
          <w:lang w:val="en-US"/>
        </w:rPr>
        <w:t>Article</w:t>
      </w:r>
      <w:r w:rsidR="00BE0C40" w:rsidRPr="003450F1">
        <w:rPr>
          <w:rFonts w:ascii="Times New Roman" w:hAnsi="Times New Roman" w:cs="Times New Roman"/>
          <w:sz w:val="24"/>
          <w:szCs w:val="24"/>
          <w:lang w:val="en-US"/>
        </w:rPr>
        <w:t>s</w:t>
      </w:r>
      <w:r w:rsidRPr="003450F1">
        <w:rPr>
          <w:rFonts w:ascii="Times New Roman" w:hAnsi="Times New Roman" w:cs="Times New Roman"/>
          <w:sz w:val="24"/>
          <w:szCs w:val="24"/>
          <w:lang w:val="en-US"/>
        </w:rPr>
        <w:t xml:space="preserve"> 5 (1) and 6 (1) </w:t>
      </w:r>
      <w:r w:rsidR="00270B0F" w:rsidRPr="003450F1">
        <w:rPr>
          <w:rFonts w:ascii="Times New Roman" w:hAnsi="Times New Roman" w:cs="Times New Roman"/>
          <w:sz w:val="24"/>
          <w:szCs w:val="24"/>
          <w:lang w:val="en-US"/>
        </w:rPr>
        <w:t xml:space="preserve">of the </w:t>
      </w:r>
      <w:r w:rsidRPr="003450F1">
        <w:rPr>
          <w:rFonts w:ascii="Times New Roman" w:hAnsi="Times New Roman" w:cs="Times New Roman"/>
          <w:sz w:val="24"/>
          <w:szCs w:val="24"/>
          <w:lang w:val="en-US"/>
        </w:rPr>
        <w:t>Regulation of 21 December 2004:</w:t>
      </w:r>
    </w:p>
    <w:p w14:paraId="5D50DFDF" w14:textId="77777777" w:rsidR="001A711E" w:rsidRPr="003450F1" w:rsidRDefault="00017ADA" w:rsidP="00D3525A">
      <w:pPr>
        <w:pStyle w:val="Hoofdtekst"/>
        <w:spacing w:after="120"/>
        <w:ind w:firstLine="360"/>
        <w:jc w:val="both"/>
        <w:outlineLvl w:val="0"/>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Article 5 – Consultation of data</w:t>
      </w:r>
    </w:p>
    <w:p w14:paraId="02A9472E" w14:textId="0559C6D0" w:rsidR="001A711E" w:rsidRPr="003450F1" w:rsidRDefault="001A711E" w:rsidP="001A711E">
      <w:pPr>
        <w:pStyle w:val="Hoofdtekst"/>
        <w:numPr>
          <w:ilvl w:val="0"/>
          <w:numId w:val="8"/>
        </w:numPr>
        <w:spacing w:after="120"/>
        <w:ind w:left="360" w:firstLine="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By virtue of their </w:t>
      </w:r>
      <w:r w:rsidR="00072EA1" w:rsidRPr="003450F1">
        <w:rPr>
          <w:rFonts w:ascii="Times New Roman" w:hAnsi="Times New Roman" w:cs="Times New Roman"/>
          <w:sz w:val="24"/>
          <w:szCs w:val="24"/>
          <w:lang w:val="en-US"/>
        </w:rPr>
        <w:t>surveillance</w:t>
      </w:r>
      <w:r w:rsidRPr="003450F1">
        <w:rPr>
          <w:rFonts w:ascii="Times New Roman" w:hAnsi="Times New Roman" w:cs="Times New Roman"/>
          <w:sz w:val="24"/>
          <w:szCs w:val="24"/>
          <w:lang w:val="en-US"/>
        </w:rPr>
        <w:t xml:space="preserve"> missions, in accordance with Articles 88-1 to 88-4 of the Code of Criminal Procedure, </w:t>
      </w:r>
      <w:r w:rsidR="00DC3823" w:rsidRPr="003450F1">
        <w:rPr>
          <w:rFonts w:ascii="Times New Roman" w:hAnsi="Times New Roman" w:cs="Times New Roman"/>
          <w:sz w:val="24"/>
          <w:szCs w:val="24"/>
          <w:lang w:val="en-US"/>
        </w:rPr>
        <w:t xml:space="preserve">when the offender is caught </w:t>
      </w:r>
      <w:r w:rsidR="001B53C2" w:rsidRPr="003450F1">
        <w:rPr>
          <w:rFonts w:ascii="Times New Roman" w:hAnsi="Times New Roman" w:cs="Times New Roman"/>
          <w:sz w:val="24"/>
          <w:szCs w:val="24"/>
          <w:lang w:val="en-US"/>
        </w:rPr>
        <w:t xml:space="preserve">in the act of </w:t>
      </w:r>
      <w:r w:rsidR="00DC3823" w:rsidRPr="003450F1">
        <w:rPr>
          <w:rFonts w:ascii="Times New Roman" w:hAnsi="Times New Roman" w:cs="Times New Roman"/>
          <w:sz w:val="24"/>
          <w:szCs w:val="24"/>
          <w:lang w:val="en-US"/>
        </w:rPr>
        <w:t>committing a crime</w:t>
      </w:r>
      <w:r w:rsidR="001B53C2" w:rsidRPr="003450F1">
        <w:rPr>
          <w:rFonts w:ascii="Times New Roman" w:hAnsi="Times New Roman" w:cs="Times New Roman"/>
          <w:sz w:val="24"/>
          <w:szCs w:val="24"/>
          <w:lang w:val="en-US"/>
        </w:rPr>
        <w:t>,</w:t>
      </w:r>
      <w:r w:rsidR="00270B0F" w:rsidRPr="003450F1">
        <w:rPr>
          <w:rFonts w:ascii="Times New Roman" w:hAnsi="Times New Roman" w:cs="Times New Roman"/>
          <w:sz w:val="24"/>
          <w:szCs w:val="24"/>
          <w:lang w:val="en-US"/>
        </w:rPr>
        <w:t xml:space="preserve"> </w:t>
      </w:r>
      <w:r w:rsidRPr="003450F1">
        <w:rPr>
          <w:rFonts w:ascii="Times New Roman" w:hAnsi="Times New Roman" w:cs="Times New Roman"/>
          <w:sz w:val="24"/>
          <w:szCs w:val="24"/>
          <w:lang w:val="en-US"/>
        </w:rPr>
        <w:t>or in the context of Article 40 of the Code of Criminal Procedure</w:t>
      </w:r>
      <w:r w:rsidR="00DC3823" w:rsidRPr="003450F1">
        <w:rPr>
          <w:rFonts w:ascii="Times New Roman" w:hAnsi="Times New Roman" w:cs="Times New Roman"/>
          <w:sz w:val="24"/>
          <w:szCs w:val="24"/>
          <w:lang w:val="en-US"/>
        </w:rPr>
        <w:t xml:space="preserve"> [referring to cases of ‘</w:t>
      </w:r>
      <w:proofErr w:type="spellStart"/>
      <w:r w:rsidR="00DC3823" w:rsidRPr="003450F1">
        <w:rPr>
          <w:rFonts w:ascii="Times New Roman" w:hAnsi="Times New Roman" w:cs="Times New Roman"/>
          <w:i/>
          <w:sz w:val="24"/>
          <w:szCs w:val="24"/>
          <w:lang w:val="en-US"/>
        </w:rPr>
        <w:t>délit</w:t>
      </w:r>
      <w:proofErr w:type="spellEnd"/>
      <w:r w:rsidR="00DC3823" w:rsidRPr="003450F1">
        <w:rPr>
          <w:rFonts w:ascii="Times New Roman" w:hAnsi="Times New Roman" w:cs="Times New Roman"/>
          <w:i/>
          <w:sz w:val="24"/>
          <w:szCs w:val="24"/>
          <w:lang w:val="en-US"/>
        </w:rPr>
        <w:t xml:space="preserve"> flagrant</w:t>
      </w:r>
      <w:r w:rsidR="00DC3823" w:rsidRPr="003450F1">
        <w:rPr>
          <w:rFonts w:ascii="Times New Roman" w:hAnsi="Times New Roman" w:cs="Times New Roman"/>
          <w:sz w:val="24"/>
          <w:szCs w:val="24"/>
          <w:lang w:val="en-US"/>
        </w:rPr>
        <w:t>’]</w:t>
      </w:r>
      <w:r w:rsidRPr="003450F1">
        <w:rPr>
          <w:rFonts w:ascii="Times New Roman" w:hAnsi="Times New Roman" w:cs="Times New Roman"/>
          <w:sz w:val="24"/>
          <w:szCs w:val="24"/>
          <w:lang w:val="en-US"/>
        </w:rPr>
        <w:t>, the persons duly empowered by virtue of Article 3 par</w:t>
      </w:r>
      <w:r w:rsidR="00C5485B" w:rsidRPr="003450F1">
        <w:rPr>
          <w:rFonts w:ascii="Times New Roman" w:hAnsi="Times New Roman" w:cs="Times New Roman"/>
          <w:sz w:val="24"/>
          <w:szCs w:val="24"/>
          <w:lang w:val="en-US"/>
        </w:rPr>
        <w:t>agraph</w:t>
      </w:r>
      <w:r w:rsidRPr="003450F1">
        <w:rPr>
          <w:rFonts w:ascii="Times New Roman" w:hAnsi="Times New Roman" w:cs="Times New Roman"/>
          <w:sz w:val="24"/>
          <w:szCs w:val="24"/>
          <w:lang w:val="en-US"/>
        </w:rPr>
        <w:t xml:space="preserve"> 2 of the present Regulation have access to the </w:t>
      </w:r>
      <w:r w:rsidRPr="003450F1">
        <w:rPr>
          <w:rFonts w:ascii="Times New Roman" w:hAnsi="Times New Roman" w:cs="Times New Roman"/>
          <w:i/>
          <w:sz w:val="24"/>
          <w:szCs w:val="24"/>
          <w:lang w:val="en-US"/>
        </w:rPr>
        <w:t>information contained in the totality of the files mentioned</w:t>
      </w:r>
      <w:r w:rsidR="00017ADA" w:rsidRPr="003450F1">
        <w:rPr>
          <w:rFonts w:ascii="Times New Roman" w:hAnsi="Times New Roman" w:cs="Times New Roman"/>
          <w:i/>
          <w:sz w:val="24"/>
          <w:szCs w:val="24"/>
          <w:lang w:val="en-US"/>
        </w:rPr>
        <w:t xml:space="preserve"> in Article 4</w:t>
      </w:r>
      <w:r w:rsidR="00017ADA" w:rsidRPr="003450F1">
        <w:rPr>
          <w:rFonts w:ascii="Times New Roman" w:hAnsi="Times New Roman" w:cs="Times New Roman"/>
          <w:sz w:val="24"/>
          <w:szCs w:val="24"/>
          <w:lang w:val="en-US"/>
        </w:rPr>
        <w:t>.’</w:t>
      </w:r>
      <w:r w:rsidR="00270B0F" w:rsidRPr="003450F1">
        <w:rPr>
          <w:rStyle w:val="Odwoanieprzypisudolnego"/>
          <w:rFonts w:ascii="Times New Roman" w:hAnsi="Times New Roman" w:cs="Times New Roman"/>
          <w:sz w:val="24"/>
          <w:szCs w:val="24"/>
          <w:lang w:val="en-US"/>
        </w:rPr>
        <w:footnoteReference w:id="66"/>
      </w:r>
    </w:p>
    <w:p w14:paraId="331C6908" w14:textId="77777777" w:rsidR="001A711E" w:rsidRPr="003450F1" w:rsidRDefault="00017ADA" w:rsidP="001A711E">
      <w:pPr>
        <w:pStyle w:val="Hoofdtekst"/>
        <w:spacing w:after="120"/>
        <w:ind w:firstLine="36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Article 6 – Procedure</w:t>
      </w:r>
    </w:p>
    <w:p w14:paraId="63F63006" w14:textId="5EA2E30E" w:rsidR="001A711E" w:rsidRPr="003450F1" w:rsidRDefault="001A711E" w:rsidP="001A711E">
      <w:pPr>
        <w:pStyle w:val="Hoofdtekst"/>
        <w:numPr>
          <w:ilvl w:val="0"/>
          <w:numId w:val="9"/>
        </w:numPr>
        <w:spacing w:after="120"/>
        <w:ind w:left="360" w:firstLine="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 information communicated by the Institute to the initial requestor on the basis of a request introduced in the context of special measures of </w:t>
      </w:r>
      <w:r w:rsidR="00072EA1" w:rsidRPr="003450F1">
        <w:rPr>
          <w:rFonts w:ascii="Times New Roman" w:hAnsi="Times New Roman" w:cs="Times New Roman"/>
          <w:sz w:val="24"/>
          <w:szCs w:val="24"/>
          <w:lang w:val="en-US"/>
        </w:rPr>
        <w:t>surveillance</w:t>
      </w:r>
      <w:r w:rsidRPr="003450F1">
        <w:rPr>
          <w:rFonts w:ascii="Times New Roman" w:hAnsi="Times New Roman" w:cs="Times New Roman"/>
          <w:sz w:val="24"/>
          <w:szCs w:val="24"/>
          <w:lang w:val="en-US"/>
        </w:rPr>
        <w:t xml:space="preserve">, </w:t>
      </w:r>
      <w:r w:rsidR="001B53C2" w:rsidRPr="003450F1">
        <w:rPr>
          <w:rFonts w:ascii="Times New Roman" w:hAnsi="Times New Roman" w:cs="Times New Roman"/>
          <w:sz w:val="24"/>
          <w:szCs w:val="24"/>
          <w:lang w:val="en-US"/>
        </w:rPr>
        <w:t>when the offender is</w:t>
      </w:r>
      <w:r w:rsidR="00327B48" w:rsidRPr="003450F1">
        <w:rPr>
          <w:rFonts w:ascii="Times New Roman" w:hAnsi="Times New Roman" w:cs="Times New Roman"/>
          <w:sz w:val="24"/>
          <w:szCs w:val="24"/>
          <w:lang w:val="en-US"/>
        </w:rPr>
        <w:t xml:space="preserve"> caught</w:t>
      </w:r>
      <w:r w:rsidR="001B53C2" w:rsidRPr="003450F1">
        <w:rPr>
          <w:rFonts w:ascii="Times New Roman" w:hAnsi="Times New Roman" w:cs="Times New Roman"/>
          <w:sz w:val="24"/>
          <w:szCs w:val="24"/>
          <w:lang w:val="en-US"/>
        </w:rPr>
        <w:t xml:space="preserve"> in the act of committing a crime, </w:t>
      </w:r>
      <w:r w:rsidRPr="003450F1">
        <w:rPr>
          <w:rFonts w:ascii="Times New Roman" w:hAnsi="Times New Roman" w:cs="Times New Roman"/>
          <w:sz w:val="24"/>
          <w:szCs w:val="24"/>
          <w:lang w:val="en-US"/>
        </w:rPr>
        <w:t xml:space="preserve">or in the context of Article 40 of the Code of Criminal Procedure includes </w:t>
      </w:r>
      <w:r w:rsidRPr="003450F1">
        <w:rPr>
          <w:rFonts w:ascii="Times New Roman" w:hAnsi="Times New Roman" w:cs="Times New Roman"/>
          <w:i/>
          <w:sz w:val="24"/>
          <w:szCs w:val="24"/>
          <w:lang w:val="en-US"/>
        </w:rPr>
        <w:t xml:space="preserve">all the information resulting from the examination of the files made available by the operators and </w:t>
      </w:r>
      <w:r w:rsidR="00270B0F" w:rsidRPr="003450F1">
        <w:rPr>
          <w:rFonts w:ascii="Times New Roman" w:hAnsi="Times New Roman" w:cs="Times New Roman"/>
          <w:i/>
          <w:sz w:val="24"/>
          <w:szCs w:val="24"/>
          <w:lang w:val="en-US"/>
        </w:rPr>
        <w:t xml:space="preserve">service </w:t>
      </w:r>
      <w:r w:rsidRPr="003450F1">
        <w:rPr>
          <w:rFonts w:ascii="Times New Roman" w:hAnsi="Times New Roman" w:cs="Times New Roman"/>
          <w:i/>
          <w:sz w:val="24"/>
          <w:szCs w:val="24"/>
          <w:lang w:val="en-US"/>
        </w:rPr>
        <w:t>providers, as well as the identity of the operators and providers of the respective services</w:t>
      </w:r>
      <w:r w:rsidRPr="003450F1">
        <w:rPr>
          <w:rFonts w:ascii="Times New Roman" w:hAnsi="Times New Roman" w:cs="Times New Roman"/>
          <w:sz w:val="24"/>
          <w:szCs w:val="24"/>
          <w:lang w:val="en-US"/>
        </w:rPr>
        <w:t>.</w:t>
      </w:r>
      <w:r w:rsidR="00017ADA" w:rsidRPr="003450F1">
        <w:rPr>
          <w:rFonts w:ascii="Times New Roman" w:hAnsi="Times New Roman" w:cs="Times New Roman"/>
          <w:sz w:val="24"/>
          <w:szCs w:val="24"/>
          <w:lang w:val="en-US"/>
        </w:rPr>
        <w:t>’</w:t>
      </w:r>
      <w:r w:rsidR="00270B0F" w:rsidRPr="003450F1">
        <w:rPr>
          <w:rStyle w:val="Odwoanieprzypisudolnego"/>
          <w:rFonts w:ascii="Times New Roman" w:hAnsi="Times New Roman" w:cs="Times New Roman"/>
          <w:sz w:val="24"/>
          <w:szCs w:val="24"/>
          <w:lang w:val="en-US"/>
        </w:rPr>
        <w:footnoteReference w:id="67"/>
      </w:r>
    </w:p>
    <w:p w14:paraId="1FF41900" w14:textId="77777777" w:rsidR="00651E6E" w:rsidRPr="003450F1" w:rsidRDefault="00651E6E" w:rsidP="00D3525A">
      <w:pPr>
        <w:pStyle w:val="Hoofdtekst"/>
        <w:spacing w:after="120"/>
        <w:jc w:val="both"/>
        <w:outlineLvl w:val="0"/>
        <w:rPr>
          <w:rFonts w:ascii="Times New Roman" w:hAnsi="Times New Roman" w:cs="Times New Roman"/>
          <w:b/>
          <w:sz w:val="24"/>
          <w:szCs w:val="24"/>
          <w:lang w:val="en-US"/>
        </w:rPr>
      </w:pPr>
    </w:p>
    <w:p w14:paraId="769D3808" w14:textId="4C6A952F" w:rsidR="001A711E" w:rsidRPr="003450F1" w:rsidRDefault="00147431" w:rsidP="00D3525A">
      <w:pPr>
        <w:pStyle w:val="Hoofdtekst"/>
        <w:spacing w:after="120"/>
        <w:jc w:val="both"/>
        <w:outlineLvl w:val="0"/>
        <w:rPr>
          <w:rFonts w:ascii="Times New Roman" w:hAnsi="Times New Roman" w:cs="Times New Roman"/>
          <w:b/>
          <w:sz w:val="24"/>
          <w:szCs w:val="24"/>
          <w:lang w:val="en-US"/>
        </w:rPr>
      </w:pPr>
      <w:r w:rsidRPr="003450F1">
        <w:rPr>
          <w:rFonts w:ascii="Times New Roman" w:hAnsi="Times New Roman" w:cs="Times New Roman"/>
          <w:b/>
          <w:sz w:val="24"/>
          <w:szCs w:val="24"/>
          <w:lang w:val="en-US"/>
        </w:rPr>
        <w:t>Trac</w:t>
      </w:r>
      <w:r w:rsidR="00572217" w:rsidRPr="003450F1">
        <w:rPr>
          <w:rFonts w:ascii="Times New Roman" w:hAnsi="Times New Roman" w:cs="Times New Roman"/>
          <w:b/>
          <w:sz w:val="24"/>
          <w:szCs w:val="24"/>
          <w:lang w:val="en-US"/>
        </w:rPr>
        <w:t>k</w:t>
      </w:r>
      <w:r w:rsidRPr="003450F1">
        <w:rPr>
          <w:rFonts w:ascii="Times New Roman" w:hAnsi="Times New Roman" w:cs="Times New Roman"/>
          <w:b/>
          <w:sz w:val="24"/>
          <w:szCs w:val="24"/>
          <w:lang w:val="en-US"/>
        </w:rPr>
        <w:t>ing and localization of telecommunications</w:t>
      </w:r>
    </w:p>
    <w:p w14:paraId="272AD01A" w14:textId="7AB03C27" w:rsidR="00DC5144" w:rsidRPr="003450F1" w:rsidRDefault="00EC41A0" w:rsidP="00DC5144">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As indicated above (sub question 2), </w:t>
      </w:r>
      <w:r w:rsidR="008C7FB0" w:rsidRPr="003450F1">
        <w:rPr>
          <w:rFonts w:ascii="Times New Roman" w:hAnsi="Times New Roman" w:cs="Times New Roman"/>
          <w:sz w:val="24"/>
          <w:szCs w:val="24"/>
          <w:lang w:val="en-US"/>
        </w:rPr>
        <w:t xml:space="preserve">the </w:t>
      </w:r>
      <w:r w:rsidR="001A711E" w:rsidRPr="003450F1">
        <w:rPr>
          <w:rFonts w:ascii="Times New Roman" w:hAnsi="Times New Roman" w:cs="Times New Roman"/>
          <w:sz w:val="24"/>
          <w:szCs w:val="24"/>
          <w:lang w:val="en-US"/>
        </w:rPr>
        <w:t xml:space="preserve">Luxembourgish law </w:t>
      </w:r>
      <w:r w:rsidR="008C7FB0" w:rsidRPr="003450F1">
        <w:rPr>
          <w:rFonts w:ascii="Times New Roman" w:hAnsi="Times New Roman" w:cs="Times New Roman"/>
          <w:sz w:val="24"/>
          <w:szCs w:val="24"/>
          <w:lang w:val="en-US"/>
        </w:rPr>
        <w:t xml:space="preserve">on electronic communications services </w:t>
      </w:r>
      <w:r w:rsidR="001A711E" w:rsidRPr="003450F1">
        <w:rPr>
          <w:rFonts w:ascii="Times New Roman" w:hAnsi="Times New Roman" w:cs="Times New Roman"/>
          <w:sz w:val="24"/>
          <w:szCs w:val="24"/>
          <w:lang w:val="en-US"/>
        </w:rPr>
        <w:t xml:space="preserve">makes a distinction between traffic data concerning subscribers and users (Article 5 </w:t>
      </w:r>
      <w:r w:rsidRPr="003450F1">
        <w:rPr>
          <w:rFonts w:ascii="Times New Roman" w:hAnsi="Times New Roman" w:cs="Times New Roman"/>
          <w:sz w:val="24"/>
          <w:szCs w:val="24"/>
          <w:lang w:val="en-US"/>
        </w:rPr>
        <w:t xml:space="preserve">of the </w:t>
      </w:r>
      <w:r w:rsidR="001A711E" w:rsidRPr="003450F1">
        <w:rPr>
          <w:rFonts w:ascii="Times New Roman" w:hAnsi="Times New Roman" w:cs="Times New Roman"/>
          <w:sz w:val="24"/>
          <w:szCs w:val="24"/>
          <w:lang w:val="en-US"/>
        </w:rPr>
        <w:t xml:space="preserve">Law of 30 May 2005) and </w:t>
      </w:r>
      <w:r w:rsidR="00D3525A" w:rsidRPr="003450F1">
        <w:rPr>
          <w:rFonts w:ascii="Times New Roman" w:hAnsi="Times New Roman" w:cs="Times New Roman"/>
          <w:sz w:val="24"/>
          <w:szCs w:val="24"/>
          <w:lang w:val="en-US"/>
        </w:rPr>
        <w:t>location data</w:t>
      </w:r>
      <w:r w:rsidR="001A711E" w:rsidRPr="003450F1">
        <w:rPr>
          <w:rFonts w:ascii="Times New Roman" w:hAnsi="Times New Roman" w:cs="Times New Roman"/>
          <w:sz w:val="24"/>
          <w:szCs w:val="24"/>
          <w:lang w:val="en-US"/>
        </w:rPr>
        <w:t xml:space="preserve"> other than traffic data (Article 9 </w:t>
      </w:r>
      <w:r w:rsidRPr="003450F1">
        <w:rPr>
          <w:rFonts w:ascii="Times New Roman" w:hAnsi="Times New Roman" w:cs="Times New Roman"/>
          <w:sz w:val="24"/>
          <w:szCs w:val="24"/>
          <w:lang w:val="en-US"/>
        </w:rPr>
        <w:t xml:space="preserve">of the </w:t>
      </w:r>
      <w:r w:rsidR="001A711E" w:rsidRPr="003450F1">
        <w:rPr>
          <w:rFonts w:ascii="Times New Roman" w:hAnsi="Times New Roman" w:cs="Times New Roman"/>
          <w:sz w:val="24"/>
          <w:szCs w:val="24"/>
          <w:lang w:val="en-US"/>
        </w:rPr>
        <w:t xml:space="preserve">Law of 30 May 2005). </w:t>
      </w:r>
      <w:r w:rsidR="00673C49" w:rsidRPr="003450F1">
        <w:rPr>
          <w:rFonts w:ascii="Times New Roman" w:hAnsi="Times New Roman" w:cs="Times New Roman"/>
          <w:sz w:val="24"/>
          <w:szCs w:val="24"/>
          <w:lang w:val="en-US"/>
        </w:rPr>
        <w:t>The Code of Criminal Procedure makes a comparable distinction between the trac</w:t>
      </w:r>
      <w:r w:rsidR="00F07A13" w:rsidRPr="003450F1">
        <w:rPr>
          <w:rFonts w:ascii="Times New Roman" w:hAnsi="Times New Roman" w:cs="Times New Roman"/>
          <w:sz w:val="24"/>
          <w:szCs w:val="24"/>
          <w:lang w:val="en-US"/>
        </w:rPr>
        <w:t>k</w:t>
      </w:r>
      <w:r w:rsidR="00673C49" w:rsidRPr="003450F1">
        <w:rPr>
          <w:rFonts w:ascii="Times New Roman" w:hAnsi="Times New Roman" w:cs="Times New Roman"/>
          <w:sz w:val="24"/>
          <w:szCs w:val="24"/>
          <w:lang w:val="en-US"/>
        </w:rPr>
        <w:t>ing</w:t>
      </w:r>
      <w:r w:rsidR="0055767D" w:rsidRPr="003450F1">
        <w:rPr>
          <w:rFonts w:ascii="Times New Roman" w:hAnsi="Times New Roman" w:cs="Times New Roman"/>
          <w:sz w:val="24"/>
          <w:szCs w:val="24"/>
          <w:lang w:val="en-US"/>
        </w:rPr>
        <w:t xml:space="preserve"> (‘</w:t>
      </w:r>
      <w:r w:rsidR="0055767D" w:rsidRPr="003450F1">
        <w:rPr>
          <w:rFonts w:ascii="Times New Roman" w:hAnsi="Times New Roman" w:cs="Times New Roman"/>
          <w:i/>
          <w:sz w:val="24"/>
          <w:szCs w:val="24"/>
          <w:lang w:val="en-US"/>
        </w:rPr>
        <w:t xml:space="preserve">le </w:t>
      </w:r>
      <w:proofErr w:type="spellStart"/>
      <w:r w:rsidR="0055767D" w:rsidRPr="003450F1">
        <w:rPr>
          <w:rFonts w:ascii="Times New Roman" w:hAnsi="Times New Roman" w:cs="Times New Roman"/>
          <w:i/>
          <w:sz w:val="24"/>
          <w:szCs w:val="24"/>
          <w:lang w:val="en-US"/>
        </w:rPr>
        <w:t>repérage</w:t>
      </w:r>
      <w:proofErr w:type="spellEnd"/>
      <w:r w:rsidR="0055767D" w:rsidRPr="003450F1">
        <w:rPr>
          <w:rFonts w:ascii="Times New Roman" w:hAnsi="Times New Roman" w:cs="Times New Roman"/>
          <w:sz w:val="24"/>
          <w:szCs w:val="24"/>
          <w:lang w:val="en-US"/>
        </w:rPr>
        <w:t>’)</w:t>
      </w:r>
      <w:r w:rsidR="00673C49" w:rsidRPr="003450F1">
        <w:rPr>
          <w:rFonts w:ascii="Times New Roman" w:hAnsi="Times New Roman" w:cs="Times New Roman"/>
          <w:sz w:val="24"/>
          <w:szCs w:val="24"/>
          <w:lang w:val="en-US"/>
        </w:rPr>
        <w:t xml:space="preserve"> of telecommunications data and the </w:t>
      </w:r>
      <w:proofErr w:type="spellStart"/>
      <w:r w:rsidR="0055767D" w:rsidRPr="003450F1">
        <w:rPr>
          <w:rFonts w:ascii="Times New Roman" w:hAnsi="Times New Roman" w:cs="Times New Roman"/>
          <w:sz w:val="24"/>
          <w:szCs w:val="24"/>
          <w:lang w:val="en-US"/>
        </w:rPr>
        <w:t>localis</w:t>
      </w:r>
      <w:r w:rsidR="00673C49" w:rsidRPr="003450F1">
        <w:rPr>
          <w:rFonts w:ascii="Times New Roman" w:hAnsi="Times New Roman" w:cs="Times New Roman"/>
          <w:sz w:val="24"/>
          <w:szCs w:val="24"/>
          <w:lang w:val="en-US"/>
        </w:rPr>
        <w:t>ation</w:t>
      </w:r>
      <w:proofErr w:type="spellEnd"/>
      <w:r w:rsidR="00673C49" w:rsidRPr="003450F1">
        <w:rPr>
          <w:rFonts w:ascii="Times New Roman" w:hAnsi="Times New Roman" w:cs="Times New Roman"/>
          <w:sz w:val="24"/>
          <w:szCs w:val="24"/>
          <w:lang w:val="en-US"/>
        </w:rPr>
        <w:t xml:space="preserve"> of the origin and destination of telecommunications</w:t>
      </w:r>
      <w:r w:rsidR="00147431" w:rsidRPr="003450F1">
        <w:rPr>
          <w:rFonts w:ascii="Times New Roman" w:hAnsi="Times New Roman" w:cs="Times New Roman"/>
          <w:sz w:val="24"/>
          <w:szCs w:val="24"/>
          <w:lang w:val="en-US"/>
        </w:rPr>
        <w:t xml:space="preserve">, yet without establishing a differential </w:t>
      </w:r>
      <w:r w:rsidR="00575C35" w:rsidRPr="003450F1">
        <w:rPr>
          <w:rFonts w:ascii="Times New Roman" w:hAnsi="Times New Roman" w:cs="Times New Roman"/>
          <w:sz w:val="24"/>
          <w:szCs w:val="24"/>
          <w:lang w:val="en-US"/>
        </w:rPr>
        <w:t xml:space="preserve">legal </w:t>
      </w:r>
      <w:r w:rsidR="00147431" w:rsidRPr="003450F1">
        <w:rPr>
          <w:rFonts w:ascii="Times New Roman" w:hAnsi="Times New Roman" w:cs="Times New Roman"/>
          <w:sz w:val="24"/>
          <w:szCs w:val="24"/>
          <w:lang w:val="en-US"/>
        </w:rPr>
        <w:t>regime for these data</w:t>
      </w:r>
      <w:r w:rsidR="00673C49" w:rsidRPr="003450F1">
        <w:rPr>
          <w:rFonts w:ascii="Times New Roman" w:hAnsi="Times New Roman" w:cs="Times New Roman"/>
          <w:sz w:val="24"/>
          <w:szCs w:val="24"/>
          <w:lang w:val="en-US"/>
        </w:rPr>
        <w:t>.</w:t>
      </w:r>
      <w:r w:rsidR="00DC5144" w:rsidRPr="003450F1">
        <w:rPr>
          <w:rFonts w:ascii="Times New Roman" w:hAnsi="Times New Roman" w:cs="Times New Roman"/>
          <w:sz w:val="24"/>
          <w:szCs w:val="24"/>
          <w:lang w:val="en-US"/>
        </w:rPr>
        <w:t xml:space="preserve"> </w:t>
      </w:r>
      <w:r w:rsidR="00575C35" w:rsidRPr="003450F1">
        <w:rPr>
          <w:rFonts w:ascii="Times New Roman" w:hAnsi="Times New Roman" w:cs="Times New Roman"/>
          <w:sz w:val="24"/>
          <w:szCs w:val="24"/>
          <w:lang w:val="en-US"/>
        </w:rPr>
        <w:t xml:space="preserve">In order to trace and/or localize telecommunications, </w:t>
      </w:r>
      <w:r w:rsidR="00DC5144" w:rsidRPr="003450F1">
        <w:rPr>
          <w:rFonts w:ascii="Times New Roman" w:hAnsi="Times New Roman" w:cs="Times New Roman"/>
          <w:sz w:val="24"/>
          <w:szCs w:val="24"/>
          <w:lang w:val="en-US"/>
        </w:rPr>
        <w:t xml:space="preserve">the investigating judge </w:t>
      </w:r>
      <w:r w:rsidR="00575C35" w:rsidRPr="003450F1">
        <w:rPr>
          <w:rFonts w:ascii="Times New Roman" w:hAnsi="Times New Roman" w:cs="Times New Roman"/>
          <w:sz w:val="24"/>
          <w:szCs w:val="24"/>
          <w:lang w:val="en-US"/>
        </w:rPr>
        <w:t xml:space="preserve">and </w:t>
      </w:r>
      <w:r w:rsidR="00DC5144" w:rsidRPr="003450F1">
        <w:rPr>
          <w:rFonts w:ascii="Times New Roman" w:hAnsi="Times New Roman" w:cs="Times New Roman"/>
          <w:sz w:val="24"/>
          <w:szCs w:val="24"/>
          <w:lang w:val="en-US"/>
        </w:rPr>
        <w:t xml:space="preserve">the </w:t>
      </w:r>
      <w:r w:rsidR="00575C35" w:rsidRPr="003450F1">
        <w:rPr>
          <w:rFonts w:ascii="Times New Roman" w:hAnsi="Times New Roman" w:cs="Times New Roman"/>
          <w:sz w:val="24"/>
          <w:szCs w:val="24"/>
          <w:lang w:val="en-US"/>
        </w:rPr>
        <w:t xml:space="preserve">public </w:t>
      </w:r>
      <w:r w:rsidR="00DC5144" w:rsidRPr="003450F1">
        <w:rPr>
          <w:rFonts w:ascii="Times New Roman" w:hAnsi="Times New Roman" w:cs="Times New Roman"/>
          <w:sz w:val="24"/>
          <w:szCs w:val="24"/>
          <w:lang w:val="en-US"/>
        </w:rPr>
        <w:t xml:space="preserve">prosecutor </w:t>
      </w:r>
      <w:r w:rsidR="00575C35" w:rsidRPr="003450F1">
        <w:rPr>
          <w:rFonts w:ascii="Times New Roman" w:hAnsi="Times New Roman" w:cs="Times New Roman"/>
          <w:sz w:val="24"/>
          <w:szCs w:val="24"/>
          <w:lang w:val="en-US"/>
        </w:rPr>
        <w:t xml:space="preserve">may </w:t>
      </w:r>
      <w:r w:rsidR="00DC5144" w:rsidRPr="003450F1">
        <w:rPr>
          <w:rFonts w:ascii="Times New Roman" w:hAnsi="Times New Roman" w:cs="Times New Roman"/>
          <w:sz w:val="24"/>
          <w:szCs w:val="24"/>
          <w:lang w:val="en-US"/>
        </w:rPr>
        <w:t>require the coopera</w:t>
      </w:r>
      <w:r w:rsidR="00575C35" w:rsidRPr="003450F1">
        <w:rPr>
          <w:rFonts w:ascii="Times New Roman" w:hAnsi="Times New Roman" w:cs="Times New Roman"/>
          <w:sz w:val="24"/>
          <w:szCs w:val="24"/>
          <w:lang w:val="en-US"/>
        </w:rPr>
        <w:t>tion of private actors.</w:t>
      </w:r>
    </w:p>
    <w:p w14:paraId="07DC342E" w14:textId="6A9EA5AC" w:rsidR="001A711E" w:rsidRPr="003450F1" w:rsidRDefault="00DC5144"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 xml:space="preserve">First of all, </w:t>
      </w:r>
      <w:r w:rsidR="001A711E" w:rsidRPr="003450F1">
        <w:t xml:space="preserve">the </w:t>
      </w:r>
      <w:r w:rsidR="001A711E" w:rsidRPr="003450F1">
        <w:rPr>
          <w:i/>
        </w:rPr>
        <w:t>investigating judge</w:t>
      </w:r>
      <w:r w:rsidR="001A711E" w:rsidRPr="003450F1">
        <w:t xml:space="preserve">, </w:t>
      </w:r>
      <w:r w:rsidR="00F84EAD" w:rsidRPr="003450F1">
        <w:t xml:space="preserve">who is </w:t>
      </w:r>
      <w:r w:rsidR="001A711E" w:rsidRPr="003450F1">
        <w:t xml:space="preserve">in charge of </w:t>
      </w:r>
      <w:r w:rsidR="0055767D" w:rsidRPr="003450F1">
        <w:t>a</w:t>
      </w:r>
      <w:r w:rsidR="001A711E" w:rsidRPr="003450F1">
        <w:t xml:space="preserve"> judicial inquiry</w:t>
      </w:r>
      <w:r w:rsidR="0055767D" w:rsidRPr="003450F1">
        <w:t xml:space="preserve"> (i.e., a type of </w:t>
      </w:r>
      <w:r w:rsidR="009D17C1" w:rsidRPr="003450F1">
        <w:t>pre-trial</w:t>
      </w:r>
      <w:r w:rsidR="0055767D" w:rsidRPr="003450F1">
        <w:t xml:space="preserve"> </w:t>
      </w:r>
      <w:r w:rsidR="009D17C1" w:rsidRPr="003450F1">
        <w:t xml:space="preserve">criminal </w:t>
      </w:r>
      <w:r w:rsidR="0055767D" w:rsidRPr="003450F1">
        <w:t>investigation</w:t>
      </w:r>
      <w:r w:rsidR="009D17C1" w:rsidRPr="003450F1">
        <w:t>; ‘</w:t>
      </w:r>
      <w:proofErr w:type="spellStart"/>
      <w:r w:rsidR="009D17C1" w:rsidRPr="003450F1">
        <w:rPr>
          <w:i/>
        </w:rPr>
        <w:t>l’instruction</w:t>
      </w:r>
      <w:proofErr w:type="spellEnd"/>
      <w:r w:rsidR="009D17C1" w:rsidRPr="003450F1">
        <w:rPr>
          <w:i/>
        </w:rPr>
        <w:t xml:space="preserve"> </w:t>
      </w:r>
      <w:proofErr w:type="spellStart"/>
      <w:r w:rsidR="009D17C1" w:rsidRPr="003450F1">
        <w:rPr>
          <w:i/>
        </w:rPr>
        <w:t>préparatoire</w:t>
      </w:r>
      <w:proofErr w:type="spellEnd"/>
      <w:r w:rsidR="009D17C1" w:rsidRPr="003450F1">
        <w:t>’</w:t>
      </w:r>
      <w:r w:rsidR="0055767D" w:rsidRPr="003450F1">
        <w:t>)</w:t>
      </w:r>
      <w:r w:rsidR="00F84EAD" w:rsidRPr="003450F1">
        <w:t xml:space="preserve"> in case of very serious criminal offences</w:t>
      </w:r>
      <w:r w:rsidR="001A711E" w:rsidRPr="003450F1">
        <w:t xml:space="preserve">, </w:t>
      </w:r>
      <w:r w:rsidR="0055767D" w:rsidRPr="003450F1">
        <w:rPr>
          <w:color w:val="000000"/>
          <w:lang w:eastAsia="fr-FR"/>
        </w:rPr>
        <w:t>can</w:t>
      </w:r>
      <w:r w:rsidR="001A711E" w:rsidRPr="003450F1" w:rsidDel="004C103E">
        <w:t xml:space="preserve"> </w:t>
      </w:r>
      <w:r w:rsidR="001A711E" w:rsidRPr="003450F1">
        <w:t>order the telecommunications operators or service providers to give the following data, as set forth by Article 67-1 (1), (2), (3) 1</w:t>
      </w:r>
      <w:r w:rsidR="001A711E" w:rsidRPr="003450F1">
        <w:rPr>
          <w:vertAlign w:val="superscript"/>
        </w:rPr>
        <w:t>st</w:t>
      </w:r>
      <w:r w:rsidR="0055767D" w:rsidRPr="003450F1">
        <w:t xml:space="preserve"> sentence and last paragraph of the</w:t>
      </w:r>
      <w:r w:rsidR="001A711E" w:rsidRPr="003450F1">
        <w:t xml:space="preserve"> Code of Criminal Procedure:</w:t>
      </w:r>
    </w:p>
    <w:p w14:paraId="25CA7944" w14:textId="2FEA1221"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w:t>
      </w:r>
      <w:r w:rsidR="001A711E" w:rsidRPr="003450F1">
        <w:rPr>
          <w:color w:val="000000"/>
          <w:lang w:eastAsia="fr-FR"/>
        </w:rPr>
        <w:t xml:space="preserve">(1) When the investigating judge estimates that there are circumstances which render the </w:t>
      </w:r>
      <w:r w:rsidR="00DC5144" w:rsidRPr="003450F1">
        <w:rPr>
          <w:color w:val="000000"/>
          <w:lang w:eastAsia="fr-FR"/>
        </w:rPr>
        <w:t>trac</w:t>
      </w:r>
      <w:r w:rsidR="00572217" w:rsidRPr="003450F1">
        <w:rPr>
          <w:color w:val="000000"/>
          <w:lang w:eastAsia="fr-FR"/>
        </w:rPr>
        <w:t>k</w:t>
      </w:r>
      <w:r w:rsidR="001A711E" w:rsidRPr="003450F1">
        <w:rPr>
          <w:color w:val="000000"/>
          <w:lang w:eastAsia="fr-FR"/>
        </w:rPr>
        <w:t xml:space="preserve">ing of telecommunications or </w:t>
      </w:r>
      <w:r w:rsidR="0055767D" w:rsidRPr="003450F1">
        <w:rPr>
          <w:color w:val="000000"/>
          <w:lang w:eastAsia="fr-FR"/>
        </w:rPr>
        <w:t xml:space="preserve">the localization </w:t>
      </w:r>
      <w:r w:rsidR="001A711E" w:rsidRPr="003450F1">
        <w:rPr>
          <w:color w:val="000000"/>
          <w:lang w:eastAsia="fr-FR"/>
        </w:rPr>
        <w:t xml:space="preserve">of the origin or </w:t>
      </w:r>
      <w:r w:rsidR="0055767D" w:rsidRPr="003450F1">
        <w:rPr>
          <w:color w:val="000000"/>
          <w:lang w:eastAsia="fr-FR"/>
        </w:rPr>
        <w:t xml:space="preserve">the </w:t>
      </w:r>
      <w:r w:rsidR="001A711E" w:rsidRPr="003450F1">
        <w:rPr>
          <w:color w:val="000000"/>
          <w:lang w:eastAsia="fr-FR"/>
        </w:rPr>
        <w:t xml:space="preserve">destination of telecommunications necessary for </w:t>
      </w:r>
      <w:r w:rsidR="0055767D" w:rsidRPr="003450F1">
        <w:rPr>
          <w:color w:val="000000"/>
          <w:lang w:eastAsia="fr-FR"/>
        </w:rPr>
        <w:t xml:space="preserve">revealing </w:t>
      </w:r>
      <w:r w:rsidR="001A711E" w:rsidRPr="003450F1">
        <w:rPr>
          <w:color w:val="000000"/>
          <w:lang w:eastAsia="fr-FR"/>
        </w:rPr>
        <w:t xml:space="preserve">the truth, and if the </w:t>
      </w:r>
      <w:r w:rsidR="00DC1844" w:rsidRPr="003450F1">
        <w:rPr>
          <w:color w:val="000000"/>
          <w:lang w:eastAsia="fr-FR"/>
        </w:rPr>
        <w:t>facts are punishable by</w:t>
      </w:r>
      <w:r w:rsidR="001A711E" w:rsidRPr="003450F1">
        <w:rPr>
          <w:color w:val="000000"/>
          <w:lang w:eastAsia="fr-FR"/>
        </w:rPr>
        <w:t xml:space="preserve"> </w:t>
      </w:r>
      <w:r w:rsidR="004142E0" w:rsidRPr="003450F1">
        <w:rPr>
          <w:rFonts w:cs="Arial"/>
        </w:rPr>
        <w:t xml:space="preserve">a criminal penalty or a correctional penalty of </w:t>
      </w:r>
      <w:r w:rsidR="00B75349" w:rsidRPr="003450F1">
        <w:rPr>
          <w:rFonts w:cs="Arial"/>
        </w:rPr>
        <w:t xml:space="preserve">a </w:t>
      </w:r>
      <w:r w:rsidR="004142E0" w:rsidRPr="003450F1">
        <w:rPr>
          <w:rFonts w:cs="Arial"/>
        </w:rPr>
        <w:t xml:space="preserve">maximum </w:t>
      </w:r>
      <w:r w:rsidR="00B75349" w:rsidRPr="003450F1">
        <w:rPr>
          <w:rFonts w:cs="Arial"/>
        </w:rPr>
        <w:t xml:space="preserve">of </w:t>
      </w:r>
      <w:r w:rsidR="004142E0" w:rsidRPr="003450F1">
        <w:rPr>
          <w:rFonts w:cs="Arial"/>
        </w:rPr>
        <w:t>one year or more,</w:t>
      </w:r>
      <w:r w:rsidR="001A711E" w:rsidRPr="003450F1">
        <w:rPr>
          <w:color w:val="000000"/>
          <w:lang w:eastAsia="fr-FR"/>
        </w:rPr>
        <w:t xml:space="preserve"> the investigating judge may </w:t>
      </w:r>
      <w:r w:rsidR="0055767D" w:rsidRPr="003450F1">
        <w:rPr>
          <w:color w:val="000000"/>
          <w:lang w:eastAsia="fr-FR"/>
        </w:rPr>
        <w:t>undertake the following investigative measures</w:t>
      </w:r>
      <w:r w:rsidR="001A711E" w:rsidRPr="003450F1">
        <w:rPr>
          <w:color w:val="000000"/>
          <w:lang w:eastAsia="fr-FR"/>
        </w:rPr>
        <w:t>,</w:t>
      </w:r>
      <w:r w:rsidR="0055767D" w:rsidRPr="003450F1">
        <w:rPr>
          <w:color w:val="000000"/>
          <w:lang w:eastAsia="fr-FR"/>
        </w:rPr>
        <w:t xml:space="preserve"> and</w:t>
      </w:r>
      <w:r w:rsidR="001A711E" w:rsidRPr="003450F1">
        <w:rPr>
          <w:color w:val="000000"/>
          <w:lang w:eastAsia="fr-FR"/>
        </w:rPr>
        <w:t xml:space="preserve"> </w:t>
      </w:r>
      <w:r w:rsidR="0055767D" w:rsidRPr="003450F1">
        <w:rPr>
          <w:color w:val="000000"/>
          <w:lang w:eastAsia="fr-FR"/>
        </w:rPr>
        <w:t>request</w:t>
      </w:r>
      <w:r w:rsidR="001A711E" w:rsidRPr="003450F1">
        <w:rPr>
          <w:color w:val="000000"/>
          <w:lang w:eastAsia="fr-FR"/>
        </w:rPr>
        <w:t xml:space="preserve"> </w:t>
      </w:r>
      <w:r w:rsidR="0055767D" w:rsidRPr="003450F1">
        <w:rPr>
          <w:color w:val="000000"/>
          <w:lang w:eastAsia="fr-FR"/>
        </w:rPr>
        <w:t xml:space="preserve">if </w:t>
      </w:r>
      <w:r w:rsidR="001A711E" w:rsidRPr="003450F1">
        <w:rPr>
          <w:color w:val="000000"/>
          <w:lang w:eastAsia="fr-FR"/>
        </w:rPr>
        <w:t xml:space="preserve">necessary the technical assistance of </w:t>
      </w:r>
      <w:r w:rsidR="001A711E" w:rsidRPr="003450F1">
        <w:rPr>
          <w:i/>
          <w:color w:val="000000"/>
          <w:lang w:eastAsia="fr-FR"/>
        </w:rPr>
        <w:t>the telecommunications operator and/or the provider of the telecommunications service</w:t>
      </w:r>
      <w:r w:rsidR="001A711E" w:rsidRPr="003450F1">
        <w:rPr>
          <w:color w:val="000000"/>
          <w:lang w:eastAsia="fr-FR"/>
        </w:rPr>
        <w:t>:</w:t>
      </w:r>
    </w:p>
    <w:p w14:paraId="639AF427" w14:textId="41C63E9A" w:rsidR="001A711E" w:rsidRPr="003450F1" w:rsidRDefault="00DC5144"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1. the trac</w:t>
      </w:r>
      <w:r w:rsidR="00572217" w:rsidRPr="003450F1">
        <w:rPr>
          <w:color w:val="000000"/>
          <w:lang w:eastAsia="fr-FR"/>
        </w:rPr>
        <w:t>k</w:t>
      </w:r>
      <w:r w:rsidR="001A711E" w:rsidRPr="003450F1">
        <w:rPr>
          <w:color w:val="000000"/>
          <w:lang w:eastAsia="fr-FR"/>
        </w:rPr>
        <w:t xml:space="preserve">ing of </w:t>
      </w:r>
      <w:r w:rsidRPr="003450F1">
        <w:rPr>
          <w:color w:val="000000"/>
          <w:lang w:eastAsia="fr-FR"/>
        </w:rPr>
        <w:t xml:space="preserve">information concerning </w:t>
      </w:r>
      <w:r w:rsidR="001A711E" w:rsidRPr="003450F1">
        <w:rPr>
          <w:color w:val="000000"/>
          <w:lang w:eastAsia="fr-FR"/>
        </w:rPr>
        <w:t xml:space="preserve">the </w:t>
      </w:r>
      <w:r w:rsidRPr="003450F1">
        <w:rPr>
          <w:color w:val="000000"/>
          <w:lang w:eastAsia="fr-FR"/>
        </w:rPr>
        <w:t xml:space="preserve">means of </w:t>
      </w:r>
      <w:r w:rsidR="001A711E" w:rsidRPr="003450F1">
        <w:rPr>
          <w:color w:val="000000"/>
          <w:lang w:eastAsia="fr-FR"/>
        </w:rPr>
        <w:t>telecommunication from which or towards which the calls are or have been addressed;</w:t>
      </w:r>
    </w:p>
    <w:p w14:paraId="4A955CD3" w14:textId="7777777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08"/>
        <w:jc w:val="both"/>
        <w:rPr>
          <w:color w:val="000000"/>
          <w:lang w:eastAsia="fr-FR"/>
        </w:rPr>
      </w:pPr>
      <w:r w:rsidRPr="003450F1">
        <w:rPr>
          <w:color w:val="000000"/>
          <w:lang w:eastAsia="fr-FR"/>
        </w:rPr>
        <w:t xml:space="preserve">2. the </w:t>
      </w:r>
      <w:proofErr w:type="spellStart"/>
      <w:r w:rsidRPr="003450F1">
        <w:rPr>
          <w:color w:val="000000"/>
          <w:lang w:eastAsia="fr-FR"/>
        </w:rPr>
        <w:t>localisation</w:t>
      </w:r>
      <w:proofErr w:type="spellEnd"/>
      <w:r w:rsidRPr="003450F1">
        <w:rPr>
          <w:color w:val="000000"/>
          <w:lang w:eastAsia="fr-FR"/>
        </w:rPr>
        <w:t xml:space="preserve"> of the origin or the destination of telecommunications.</w:t>
      </w:r>
    </w:p>
    <w:p w14:paraId="0F77B961" w14:textId="07296692" w:rsidR="00506ED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In</w:t>
      </w:r>
      <w:r w:rsidR="004142E0" w:rsidRPr="003450F1">
        <w:rPr>
          <w:color w:val="000000"/>
          <w:lang w:eastAsia="fr-FR"/>
        </w:rPr>
        <w:t xml:space="preserve"> the cases provided in the paragraph</w:t>
      </w:r>
      <w:r w:rsidRPr="003450F1">
        <w:rPr>
          <w:color w:val="000000"/>
          <w:lang w:eastAsia="fr-FR"/>
        </w:rPr>
        <w:t xml:space="preserve"> 1, for each telecommunication means, </w:t>
      </w:r>
      <w:r w:rsidR="004142E0" w:rsidRPr="003450F1">
        <w:rPr>
          <w:color w:val="000000"/>
          <w:lang w:eastAsia="fr-FR"/>
        </w:rPr>
        <w:t>the call data of which are trac</w:t>
      </w:r>
      <w:r w:rsidRPr="003450F1">
        <w:rPr>
          <w:color w:val="000000"/>
          <w:lang w:eastAsia="fr-FR"/>
        </w:rPr>
        <w:t>ed or the origin or des</w:t>
      </w:r>
      <w:r w:rsidR="003D7421" w:rsidRPr="003450F1">
        <w:rPr>
          <w:color w:val="000000"/>
          <w:lang w:eastAsia="fr-FR"/>
        </w:rPr>
        <w:t>t</w:t>
      </w:r>
      <w:r w:rsidRPr="003450F1">
        <w:rPr>
          <w:color w:val="000000"/>
          <w:lang w:eastAsia="fr-FR"/>
        </w:rPr>
        <w:t xml:space="preserve">ination of which are localized, the day, the hour, the duration and, if necessary, the place of the telecommunication shall be indicated and </w:t>
      </w:r>
      <w:r w:rsidR="004142E0" w:rsidRPr="003450F1">
        <w:rPr>
          <w:color w:val="000000"/>
          <w:lang w:eastAsia="fr-FR"/>
        </w:rPr>
        <w:t xml:space="preserve">written down in a </w:t>
      </w:r>
      <w:r w:rsidRPr="003450F1">
        <w:rPr>
          <w:color w:val="000000"/>
          <w:lang w:eastAsia="fr-FR"/>
        </w:rPr>
        <w:t xml:space="preserve">record. </w:t>
      </w:r>
    </w:p>
    <w:p w14:paraId="5F16F0A1" w14:textId="1A70ED76"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lastRenderedPageBreak/>
        <w:t>The investigating judge indicates the factual circumstances of the case which justify the measure</w:t>
      </w:r>
      <w:r w:rsidR="008C7FB0" w:rsidRPr="003450F1">
        <w:rPr>
          <w:color w:val="000000"/>
          <w:lang w:eastAsia="fr-FR"/>
        </w:rPr>
        <w:t xml:space="preserve">s </w:t>
      </w:r>
      <w:r w:rsidR="004142E0" w:rsidRPr="003450F1">
        <w:rPr>
          <w:color w:val="000000"/>
          <w:lang w:eastAsia="fr-FR"/>
        </w:rPr>
        <w:t xml:space="preserve">in an </w:t>
      </w:r>
      <w:r w:rsidR="008C7FB0" w:rsidRPr="003450F1">
        <w:rPr>
          <w:color w:val="000000"/>
          <w:lang w:eastAsia="fr-FR"/>
        </w:rPr>
        <w:t>order</w:t>
      </w:r>
      <w:r w:rsidR="004142E0" w:rsidRPr="003450F1">
        <w:rPr>
          <w:color w:val="000000"/>
          <w:lang w:eastAsia="fr-FR"/>
        </w:rPr>
        <w:t xml:space="preserve"> giving reasons</w:t>
      </w:r>
      <w:r w:rsidR="008C7FB0" w:rsidRPr="003450F1">
        <w:rPr>
          <w:color w:val="000000"/>
          <w:lang w:eastAsia="fr-FR"/>
        </w:rPr>
        <w:t>, which s/</w:t>
      </w:r>
      <w:r w:rsidRPr="003450F1">
        <w:rPr>
          <w:color w:val="000000"/>
          <w:lang w:eastAsia="fr-FR"/>
        </w:rPr>
        <w:t xml:space="preserve">he communicates to the </w:t>
      </w:r>
      <w:r w:rsidR="004142E0" w:rsidRPr="003450F1">
        <w:rPr>
          <w:color w:val="000000"/>
          <w:lang w:eastAsia="fr-FR"/>
        </w:rPr>
        <w:t xml:space="preserve">public </w:t>
      </w:r>
      <w:r w:rsidRPr="003450F1">
        <w:rPr>
          <w:color w:val="000000"/>
          <w:lang w:eastAsia="fr-FR"/>
        </w:rPr>
        <w:t xml:space="preserve">prosecutor. </w:t>
      </w:r>
    </w:p>
    <w:p w14:paraId="0E1A327F" w14:textId="1E5ABF7D" w:rsidR="001A711E" w:rsidRPr="003450F1" w:rsidRDefault="004142E0"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H</w:t>
      </w:r>
      <w:r w:rsidR="001A711E" w:rsidRPr="003450F1">
        <w:rPr>
          <w:color w:val="000000"/>
          <w:lang w:eastAsia="fr-FR"/>
        </w:rPr>
        <w:t xml:space="preserve">e specifies the duration of application of the measure, which may not exceed one month from the date of issuance of the order, without prejudice to renewal of the order. </w:t>
      </w:r>
    </w:p>
    <w:p w14:paraId="1E0FFC18" w14:textId="72C5C77F" w:rsidR="003D7421"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 xml:space="preserve">(2) All </w:t>
      </w:r>
      <w:r w:rsidR="001F38B8" w:rsidRPr="003450F1">
        <w:rPr>
          <w:color w:val="000000"/>
          <w:lang w:eastAsia="fr-FR"/>
        </w:rPr>
        <w:t xml:space="preserve">telecommunications </w:t>
      </w:r>
      <w:r w:rsidRPr="003450F1">
        <w:rPr>
          <w:color w:val="000000"/>
          <w:lang w:eastAsia="fr-FR"/>
        </w:rPr>
        <w:t>operators and all providers of telecommunication</w:t>
      </w:r>
      <w:r w:rsidR="001F38B8" w:rsidRPr="003450F1">
        <w:rPr>
          <w:color w:val="000000"/>
          <w:lang w:eastAsia="fr-FR"/>
        </w:rPr>
        <w:t>s</w:t>
      </w:r>
      <w:r w:rsidRPr="003450F1">
        <w:rPr>
          <w:color w:val="000000"/>
          <w:lang w:eastAsia="fr-FR"/>
        </w:rPr>
        <w:t xml:space="preserve"> services communicate the requested information </w:t>
      </w:r>
      <w:r w:rsidR="001F38B8" w:rsidRPr="003450F1">
        <w:rPr>
          <w:color w:val="000000"/>
          <w:lang w:eastAsia="fr-FR"/>
        </w:rPr>
        <w:t>as soon as possible</w:t>
      </w:r>
      <w:r w:rsidRPr="003450F1">
        <w:rPr>
          <w:color w:val="000000"/>
          <w:lang w:eastAsia="fr-FR"/>
        </w:rPr>
        <w:t xml:space="preserve">. </w:t>
      </w:r>
    </w:p>
    <w:p w14:paraId="6646E2E8" w14:textId="096EF466" w:rsidR="003D7421"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 xml:space="preserve">All persons who, in the context of their profession, have knowledge of the measure </w:t>
      </w:r>
      <w:r w:rsidR="003D7421" w:rsidRPr="003450F1">
        <w:rPr>
          <w:color w:val="000000"/>
          <w:lang w:eastAsia="fr-FR"/>
        </w:rPr>
        <w:t>or assist in its execution</w:t>
      </w:r>
      <w:r w:rsidRPr="003450F1">
        <w:rPr>
          <w:color w:val="000000"/>
          <w:lang w:eastAsia="fr-FR"/>
        </w:rPr>
        <w:t xml:space="preserve"> are obliged to safeguard the secrecy. All violations of secrecy are punished in accordance with Article 458 of the Criminal Code. </w:t>
      </w:r>
    </w:p>
    <w:p w14:paraId="487BD558" w14:textId="393FEEF0"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color w:val="000000"/>
          <w:lang w:eastAsia="fr-FR"/>
        </w:rPr>
      </w:pPr>
      <w:r w:rsidRPr="003450F1">
        <w:rPr>
          <w:color w:val="000000"/>
          <w:lang w:eastAsia="fr-FR"/>
        </w:rPr>
        <w:t xml:space="preserve">All persons refusing to </w:t>
      </w:r>
      <w:r w:rsidR="003D7421" w:rsidRPr="003450F1">
        <w:rPr>
          <w:color w:val="000000"/>
          <w:lang w:eastAsia="fr-FR"/>
        </w:rPr>
        <w:t xml:space="preserve">offer their technical help </w:t>
      </w:r>
      <w:r w:rsidRPr="003450F1">
        <w:rPr>
          <w:color w:val="000000"/>
          <w:lang w:eastAsia="fr-FR"/>
        </w:rPr>
        <w:t xml:space="preserve">to </w:t>
      </w:r>
      <w:r w:rsidR="003D7421" w:rsidRPr="003450F1">
        <w:rPr>
          <w:color w:val="000000"/>
          <w:lang w:eastAsia="fr-FR"/>
        </w:rPr>
        <w:t xml:space="preserve">execute </w:t>
      </w:r>
      <w:r w:rsidRPr="003450F1">
        <w:rPr>
          <w:color w:val="000000"/>
          <w:lang w:eastAsia="fr-FR"/>
        </w:rPr>
        <w:t>the requests provi</w:t>
      </w:r>
      <w:r w:rsidR="001F38B8" w:rsidRPr="003450F1">
        <w:rPr>
          <w:color w:val="000000"/>
          <w:lang w:eastAsia="fr-FR"/>
        </w:rPr>
        <w:t>ded in this article are punishably</w:t>
      </w:r>
      <w:r w:rsidRPr="003450F1">
        <w:rPr>
          <w:color w:val="000000"/>
          <w:lang w:eastAsia="fr-FR"/>
        </w:rPr>
        <w:t xml:space="preserve"> </w:t>
      </w:r>
      <w:r w:rsidR="001F38B8" w:rsidRPr="003450F1">
        <w:rPr>
          <w:color w:val="000000"/>
          <w:lang w:eastAsia="fr-FR"/>
        </w:rPr>
        <w:t xml:space="preserve">by </w:t>
      </w:r>
      <w:r w:rsidRPr="003450F1">
        <w:rPr>
          <w:color w:val="000000"/>
          <w:lang w:eastAsia="fr-FR"/>
        </w:rPr>
        <w:t xml:space="preserve">a fine of 100 </w:t>
      </w:r>
      <w:r w:rsidR="001F38B8" w:rsidRPr="003450F1">
        <w:rPr>
          <w:color w:val="000000"/>
          <w:lang w:eastAsia="fr-FR"/>
        </w:rPr>
        <w:t xml:space="preserve">up </w:t>
      </w:r>
      <w:r w:rsidRPr="003450F1">
        <w:rPr>
          <w:color w:val="000000"/>
          <w:lang w:eastAsia="fr-FR"/>
        </w:rPr>
        <w:t xml:space="preserve">to 50,000 euros. </w:t>
      </w:r>
    </w:p>
    <w:p w14:paraId="51B45C7F" w14:textId="72FF1E14"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lang w:eastAsia="fr-FR"/>
        </w:rPr>
      </w:pPr>
      <w:r w:rsidRPr="003450F1">
        <w:rPr>
          <w:color w:val="000000"/>
          <w:lang w:eastAsia="fr-FR"/>
        </w:rPr>
        <w:t xml:space="preserve">(3) The person </w:t>
      </w:r>
      <w:r w:rsidR="00CE4993" w:rsidRPr="003450F1">
        <w:rPr>
          <w:color w:val="000000"/>
          <w:lang w:eastAsia="fr-FR"/>
        </w:rPr>
        <w:t xml:space="preserve">of which </w:t>
      </w:r>
      <w:r w:rsidRPr="003450F1">
        <w:rPr>
          <w:color w:val="000000"/>
          <w:lang w:eastAsia="fr-FR"/>
        </w:rPr>
        <w:t xml:space="preserve">a telecommunication means has </w:t>
      </w:r>
      <w:r w:rsidR="001F38B8" w:rsidRPr="003450F1">
        <w:rPr>
          <w:color w:val="000000"/>
          <w:lang w:eastAsia="fr-FR"/>
        </w:rPr>
        <w:t>made</w:t>
      </w:r>
      <w:r w:rsidRPr="003450F1">
        <w:rPr>
          <w:color w:val="000000"/>
          <w:lang w:eastAsia="fr-FR"/>
        </w:rPr>
        <w:t xml:space="preserve"> the object of the measure provided in par</w:t>
      </w:r>
      <w:r w:rsidR="003D7421" w:rsidRPr="003450F1">
        <w:rPr>
          <w:color w:val="000000"/>
          <w:lang w:eastAsia="fr-FR"/>
        </w:rPr>
        <w:t>a</w:t>
      </w:r>
      <w:r w:rsidR="001F38B8" w:rsidRPr="003450F1">
        <w:rPr>
          <w:color w:val="000000"/>
          <w:lang w:eastAsia="fr-FR"/>
        </w:rPr>
        <w:t>graph</w:t>
      </w:r>
      <w:r w:rsidRPr="003450F1">
        <w:rPr>
          <w:color w:val="000000"/>
          <w:lang w:eastAsia="fr-FR"/>
        </w:rPr>
        <w:t xml:space="preserve"> 1 is informed of the ordered measure</w:t>
      </w:r>
      <w:r w:rsidR="003D7421" w:rsidRPr="003450F1">
        <w:rPr>
          <w:color w:val="000000"/>
          <w:lang w:eastAsia="fr-FR"/>
        </w:rPr>
        <w:t xml:space="preserve"> in the course of the investigation</w:t>
      </w:r>
      <w:r w:rsidRPr="003450F1">
        <w:rPr>
          <w:lang w:eastAsia="fr-FR"/>
        </w:rPr>
        <w:t xml:space="preserve"> and in any case </w:t>
      </w:r>
      <w:r w:rsidR="001F38B8" w:rsidRPr="003450F1">
        <w:rPr>
          <w:lang w:eastAsia="fr-FR"/>
        </w:rPr>
        <w:t xml:space="preserve">at the latest </w:t>
      </w:r>
      <w:r w:rsidR="00CE4993" w:rsidRPr="003450F1">
        <w:rPr>
          <w:lang w:eastAsia="fr-FR"/>
        </w:rPr>
        <w:t>with</w:t>
      </w:r>
      <w:r w:rsidRPr="003450F1">
        <w:rPr>
          <w:lang w:eastAsia="fr-FR"/>
        </w:rPr>
        <w:t xml:space="preserve">in twelve months </w:t>
      </w:r>
      <w:r w:rsidR="001F38B8" w:rsidRPr="003450F1">
        <w:rPr>
          <w:lang w:eastAsia="fr-FR"/>
        </w:rPr>
        <w:t>starting</w:t>
      </w:r>
      <w:r w:rsidRPr="003450F1">
        <w:rPr>
          <w:lang w:eastAsia="fr-FR"/>
        </w:rPr>
        <w:t xml:space="preserve"> from the date of issuance of the order.</w:t>
      </w:r>
    </w:p>
    <w:p w14:paraId="0F4D5193" w14:textId="0D4BD84F" w:rsidR="001A711E" w:rsidRPr="003450F1" w:rsidRDefault="008C7FB0"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08"/>
        <w:jc w:val="both"/>
        <w:rPr>
          <w:lang w:eastAsia="fr-FR"/>
        </w:rPr>
      </w:pPr>
      <w:r w:rsidRPr="003450F1">
        <w:rPr>
          <w:lang w:eastAsia="fr-FR"/>
        </w:rPr>
        <w:t>(…)</w:t>
      </w:r>
    </w:p>
    <w:p w14:paraId="243F3B49" w14:textId="6D5C5FC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lang w:eastAsia="fr-FR"/>
        </w:rPr>
      </w:pPr>
      <w:r w:rsidRPr="003450F1">
        <w:rPr>
          <w:lang w:eastAsia="fr-FR"/>
        </w:rPr>
        <w:t>When the measures of trac</w:t>
      </w:r>
      <w:r w:rsidR="00572217" w:rsidRPr="003450F1">
        <w:rPr>
          <w:lang w:eastAsia="fr-FR"/>
        </w:rPr>
        <w:t>k</w:t>
      </w:r>
      <w:r w:rsidRPr="003450F1">
        <w:rPr>
          <w:lang w:eastAsia="fr-FR"/>
        </w:rPr>
        <w:t xml:space="preserve">ing of telecommunications ordered by the investigating judge yield no outcome, the obtained data shall be removed from the </w:t>
      </w:r>
      <w:r w:rsidR="001F38B8" w:rsidRPr="003450F1">
        <w:rPr>
          <w:lang w:eastAsia="fr-FR"/>
        </w:rPr>
        <w:t xml:space="preserve">criminal </w:t>
      </w:r>
      <w:r w:rsidRPr="003450F1">
        <w:rPr>
          <w:lang w:eastAsia="fr-FR"/>
        </w:rPr>
        <w:t>file and destroyed to the extent that it refers to persons who do not face charges.</w:t>
      </w:r>
      <w:r w:rsidR="00017ADA" w:rsidRPr="003450F1">
        <w:rPr>
          <w:lang w:eastAsia="fr-FR"/>
        </w:rPr>
        <w:t>’</w:t>
      </w:r>
      <w:r w:rsidR="00F84EAD" w:rsidRPr="003450F1">
        <w:rPr>
          <w:rStyle w:val="Odwoanieprzypisudolnego"/>
          <w:lang w:eastAsia="fr-FR"/>
        </w:rPr>
        <w:footnoteReference w:id="68"/>
      </w:r>
    </w:p>
    <w:p w14:paraId="1BEB4A5F" w14:textId="77777777" w:rsidR="00F07A13" w:rsidRPr="003450F1" w:rsidRDefault="00F07A13"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p>
    <w:p w14:paraId="75EABF16" w14:textId="3D3D4A45" w:rsidR="00A10382" w:rsidRPr="003450F1" w:rsidRDefault="00A10382"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 xml:space="preserve">It should be highlighted that </w:t>
      </w:r>
      <w:r w:rsidR="009029B8" w:rsidRPr="003450F1">
        <w:t>the scope of application of the above</w:t>
      </w:r>
      <w:r w:rsidRPr="003450F1">
        <w:t xml:space="preserve"> provision extends to operators and providers of </w:t>
      </w:r>
      <w:r w:rsidRPr="003450F1">
        <w:rPr>
          <w:i/>
        </w:rPr>
        <w:t>telecommunications services</w:t>
      </w:r>
      <w:r w:rsidRPr="003450F1">
        <w:t>. Hence</w:t>
      </w:r>
      <w:r w:rsidR="00F84EAD" w:rsidRPr="003450F1">
        <w:t xml:space="preserve">, </w:t>
      </w:r>
      <w:r w:rsidR="009029B8" w:rsidRPr="003450F1">
        <w:t xml:space="preserve">one will notice </w:t>
      </w:r>
      <w:r w:rsidR="00F84EAD" w:rsidRPr="003450F1">
        <w:t>a slight disconnect between</w:t>
      </w:r>
      <w:r w:rsidR="009029B8" w:rsidRPr="003450F1">
        <w:t xml:space="preserve"> </w:t>
      </w:r>
      <w:r w:rsidR="00F84EAD" w:rsidRPr="003450F1">
        <w:t xml:space="preserve">the scope of </w:t>
      </w:r>
      <w:r w:rsidR="009029B8" w:rsidRPr="003450F1">
        <w:t xml:space="preserve">this provision and </w:t>
      </w:r>
      <w:r w:rsidR="00F84EAD" w:rsidRPr="003450F1">
        <w:t xml:space="preserve">the </w:t>
      </w:r>
      <w:r w:rsidR="009029B8" w:rsidRPr="003450F1">
        <w:t xml:space="preserve">data retention obligations laid down in the </w:t>
      </w:r>
      <w:r w:rsidR="00F84EAD" w:rsidRPr="003450F1">
        <w:t>Law of 30 May 2005</w:t>
      </w:r>
      <w:r w:rsidR="009029B8" w:rsidRPr="003450F1">
        <w:t xml:space="preserve"> (</w:t>
      </w:r>
      <w:r w:rsidR="009029B8" w:rsidRPr="003450F1">
        <w:rPr>
          <w:i/>
        </w:rPr>
        <w:t>supra</w:t>
      </w:r>
      <w:r w:rsidR="009029B8" w:rsidRPr="003450F1">
        <w:t>, sub question 2). I</w:t>
      </w:r>
      <w:r w:rsidR="0033717C" w:rsidRPr="003450F1">
        <w:t>ndeed, Article 67-1 of the Code of Criminal Procedure</w:t>
      </w:r>
      <w:r w:rsidR="00A97B6B" w:rsidRPr="003450F1">
        <w:t xml:space="preserve"> still use</w:t>
      </w:r>
      <w:r w:rsidR="009029B8" w:rsidRPr="003450F1">
        <w:t>s</w:t>
      </w:r>
      <w:r w:rsidR="00A97B6B" w:rsidRPr="003450F1">
        <w:t xml:space="preserve"> the old terminology </w:t>
      </w:r>
      <w:r w:rsidR="0033717C" w:rsidRPr="003450F1">
        <w:t xml:space="preserve">which </w:t>
      </w:r>
      <w:r w:rsidR="00A97B6B" w:rsidRPr="003450F1">
        <w:t xml:space="preserve">was used before the enactment of </w:t>
      </w:r>
      <w:r w:rsidR="00A97B6B" w:rsidRPr="003450F1">
        <w:rPr>
          <w:bCs/>
        </w:rPr>
        <w:t>the Law of 27 February 2011</w:t>
      </w:r>
      <w:r w:rsidR="0033717C" w:rsidRPr="003450F1">
        <w:rPr>
          <w:bCs/>
        </w:rPr>
        <w:t xml:space="preserve"> on electronic communications networks and services</w:t>
      </w:r>
      <w:r w:rsidR="0033717C" w:rsidRPr="003450F1">
        <w:rPr>
          <w:rStyle w:val="Odwoanieprzypisudolnego"/>
          <w:bCs/>
        </w:rPr>
        <w:footnoteReference w:id="69"/>
      </w:r>
      <w:r w:rsidR="0033717C" w:rsidRPr="003450F1">
        <w:rPr>
          <w:bCs/>
        </w:rPr>
        <w:t xml:space="preserve"> (</w:t>
      </w:r>
      <w:r w:rsidR="0033717C" w:rsidRPr="003450F1">
        <w:rPr>
          <w:bCs/>
          <w:i/>
        </w:rPr>
        <w:t>supra</w:t>
      </w:r>
      <w:r w:rsidR="0033717C" w:rsidRPr="003450F1">
        <w:rPr>
          <w:bCs/>
        </w:rPr>
        <w:t>, sub question 1).</w:t>
      </w:r>
      <w:r w:rsidR="00A97B6B" w:rsidRPr="003450F1">
        <w:t xml:space="preserve"> </w:t>
      </w:r>
      <w:r w:rsidR="00460303" w:rsidRPr="003450F1">
        <w:t>In</w:t>
      </w:r>
      <w:r w:rsidR="00A97B6B" w:rsidRPr="003450F1">
        <w:t xml:space="preserve"> the </w:t>
      </w:r>
      <w:r w:rsidR="00F07A13" w:rsidRPr="003450F1">
        <w:t>former</w:t>
      </w:r>
      <w:r w:rsidR="00A97B6B" w:rsidRPr="003450F1">
        <w:t xml:space="preserve"> Telecommunications Law of 21 March 1997</w:t>
      </w:r>
      <w:r w:rsidR="00460303" w:rsidRPr="003450F1">
        <w:t>,</w:t>
      </w:r>
      <w:r w:rsidR="009029B8" w:rsidRPr="003450F1">
        <w:rPr>
          <w:rStyle w:val="Odwoanieprzypisudolnego"/>
        </w:rPr>
        <w:footnoteReference w:id="70"/>
      </w:r>
      <w:r w:rsidR="00A97B6B" w:rsidRPr="003450F1">
        <w:t xml:space="preserve"> telecommunication was defined as ‘each transmission, emission or reception of signals, writings, images, sounds or data of any nature, by wire, radio, </w:t>
      </w:r>
      <w:r w:rsidR="009029B8" w:rsidRPr="003450F1">
        <w:t>optical or electromagnetic means.’</w:t>
      </w:r>
      <w:r w:rsidR="009029B8" w:rsidRPr="003450F1">
        <w:rPr>
          <w:rStyle w:val="Odwoanieprzypisudolnego"/>
        </w:rPr>
        <w:footnoteReference w:id="71"/>
      </w:r>
      <w:r w:rsidR="0033717C" w:rsidRPr="003450F1">
        <w:t xml:space="preserve"> </w:t>
      </w:r>
      <w:r w:rsidR="001F38B8" w:rsidRPr="003450F1">
        <w:t xml:space="preserve">However, </w:t>
      </w:r>
      <w:r w:rsidR="00F07A13" w:rsidRPr="003450F1">
        <w:t>Internet</w:t>
      </w:r>
      <w:r w:rsidR="0033717C" w:rsidRPr="003450F1">
        <w:t xml:space="preserve"> services were</w:t>
      </w:r>
      <w:r w:rsidR="00460303" w:rsidRPr="003450F1">
        <w:t xml:space="preserve"> also</w:t>
      </w:r>
      <w:r w:rsidR="005E7B38" w:rsidRPr="003450F1">
        <w:t xml:space="preserve"> </w:t>
      </w:r>
      <w:r w:rsidR="0033717C" w:rsidRPr="003450F1">
        <w:t xml:space="preserve">considered to be governed by the </w:t>
      </w:r>
      <w:r w:rsidR="00460303" w:rsidRPr="003450F1">
        <w:t xml:space="preserve">1997 Telecommunications </w:t>
      </w:r>
      <w:r w:rsidR="0033717C" w:rsidRPr="003450F1">
        <w:t>Law.</w:t>
      </w:r>
      <w:r w:rsidR="0033717C" w:rsidRPr="003450F1">
        <w:rPr>
          <w:rStyle w:val="Odwoanieprzypisudolnego"/>
        </w:rPr>
        <w:footnoteReference w:id="72"/>
      </w:r>
      <w:r w:rsidR="0033717C" w:rsidRPr="003450F1">
        <w:t xml:space="preserve"> The notion electronic communications services deliberately covers a wider range of services than the old </w:t>
      </w:r>
      <w:r w:rsidR="005E7B38" w:rsidRPr="003450F1">
        <w:t xml:space="preserve">term </w:t>
      </w:r>
      <w:r w:rsidR="0033717C" w:rsidRPr="003450F1">
        <w:t>telecommunications services.</w:t>
      </w:r>
      <w:r w:rsidR="00460303" w:rsidRPr="003450F1">
        <w:rPr>
          <w:rStyle w:val="Odwoanieprzypisudolnego"/>
        </w:rPr>
        <w:footnoteReference w:id="73"/>
      </w:r>
    </w:p>
    <w:p w14:paraId="28D232EB" w14:textId="4DA376AA" w:rsidR="001A711E" w:rsidRPr="003450F1" w:rsidRDefault="001F38B8"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Second, b</w:t>
      </w:r>
      <w:r w:rsidR="005E7B38" w:rsidRPr="003450F1">
        <w:t xml:space="preserve">esides the investigating judge, </w:t>
      </w:r>
      <w:r w:rsidR="001A711E" w:rsidRPr="003450F1">
        <w:t xml:space="preserve">it is also possible for the </w:t>
      </w:r>
      <w:r w:rsidRPr="003450F1">
        <w:rPr>
          <w:i/>
        </w:rPr>
        <w:t>public</w:t>
      </w:r>
      <w:r w:rsidRPr="003450F1">
        <w:t xml:space="preserve"> </w:t>
      </w:r>
      <w:r w:rsidR="001A711E" w:rsidRPr="003450F1">
        <w:rPr>
          <w:i/>
        </w:rPr>
        <w:t>prosecutor</w:t>
      </w:r>
      <w:r w:rsidR="001A711E" w:rsidRPr="003450F1">
        <w:t xml:space="preserve"> </w:t>
      </w:r>
      <w:r w:rsidR="009D17C1" w:rsidRPr="003450F1">
        <w:t xml:space="preserve">to request an investigating judge to issue such an order </w:t>
      </w:r>
      <w:r w:rsidR="001A711E" w:rsidRPr="003450F1">
        <w:t>in the context of</w:t>
      </w:r>
      <w:r w:rsidR="009D17C1" w:rsidRPr="003450F1">
        <w:t xml:space="preserve"> a so-called ‘mini-instruction’, </w:t>
      </w:r>
      <w:r w:rsidR="001A711E" w:rsidRPr="003450F1">
        <w:t>meaning that the prosecutor is in charge of the pre-trial investigation</w:t>
      </w:r>
      <w:r w:rsidR="009D17C1" w:rsidRPr="003450F1">
        <w:t xml:space="preserve"> (called a preliminary investigation or ‘</w:t>
      </w:r>
      <w:proofErr w:type="spellStart"/>
      <w:r w:rsidR="009D17C1" w:rsidRPr="003450F1">
        <w:rPr>
          <w:i/>
        </w:rPr>
        <w:t>l’enquête</w:t>
      </w:r>
      <w:proofErr w:type="spellEnd"/>
      <w:r w:rsidR="009D17C1" w:rsidRPr="003450F1">
        <w:rPr>
          <w:i/>
        </w:rPr>
        <w:t xml:space="preserve"> </w:t>
      </w:r>
      <w:proofErr w:type="spellStart"/>
      <w:r w:rsidR="009D17C1" w:rsidRPr="003450F1">
        <w:rPr>
          <w:i/>
        </w:rPr>
        <w:t>préliminaire</w:t>
      </w:r>
      <w:proofErr w:type="spellEnd"/>
      <w:r w:rsidR="009D17C1" w:rsidRPr="003450F1">
        <w:t>’)</w:t>
      </w:r>
      <w:r w:rsidRPr="003450F1">
        <w:t xml:space="preserve"> but asks the investigating judge for a punctual intervention for a particular coercive investigative measure</w:t>
      </w:r>
      <w:r w:rsidR="001A711E" w:rsidRPr="003450F1">
        <w:t xml:space="preserve">. </w:t>
      </w:r>
      <w:r w:rsidRPr="003450F1">
        <w:t xml:space="preserve">In </w:t>
      </w:r>
      <w:r w:rsidR="001A711E" w:rsidRPr="003450F1">
        <w:t>this respect</w:t>
      </w:r>
      <w:r w:rsidR="00E06ACB" w:rsidRPr="003450F1">
        <w:t>,</w:t>
      </w:r>
      <w:r w:rsidR="001A711E" w:rsidRPr="003450F1">
        <w:t xml:space="preserve"> </w:t>
      </w:r>
      <w:r w:rsidRPr="003450F1">
        <w:t xml:space="preserve">reference should be made to </w:t>
      </w:r>
      <w:r w:rsidR="001A711E" w:rsidRPr="003450F1">
        <w:t xml:space="preserve">Article 24-1 </w:t>
      </w:r>
      <w:r w:rsidR="003D7421" w:rsidRPr="003450F1">
        <w:t xml:space="preserve">of the </w:t>
      </w:r>
      <w:r w:rsidR="001A711E" w:rsidRPr="003450F1">
        <w:t>Code of Criminal Procedure</w:t>
      </w:r>
      <w:r w:rsidR="00E06ACB" w:rsidRPr="003450F1">
        <w:t xml:space="preserve">, which is the general provision for the measures which can be ordered </w:t>
      </w:r>
      <w:r w:rsidR="00E06ACB" w:rsidRPr="003450F1">
        <w:lastRenderedPageBreak/>
        <w:t>on the basis of a mini-instruction</w:t>
      </w:r>
      <w:r w:rsidR="009D17C1" w:rsidRPr="003450F1">
        <w:t xml:space="preserve"> and which explicitly refers to the telecommunications measures of Article 67-1 of the Criminal Code</w:t>
      </w:r>
      <w:r w:rsidR="001A711E" w:rsidRPr="003450F1">
        <w:t> :</w:t>
      </w:r>
    </w:p>
    <w:p w14:paraId="22F81B38" w14:textId="60F3421E" w:rsidR="003D7421"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w:t>
      </w:r>
      <w:r w:rsidR="001A711E" w:rsidRPr="003450F1">
        <w:t xml:space="preserve">(1) </w:t>
      </w:r>
      <w:r w:rsidR="00CF5097" w:rsidRPr="003450F1">
        <w:t>With respect to</w:t>
      </w:r>
      <w:r w:rsidR="001A711E" w:rsidRPr="003450F1">
        <w:t xml:space="preserve"> all </w:t>
      </w:r>
      <w:proofErr w:type="spellStart"/>
      <w:r w:rsidR="00DF107C" w:rsidRPr="003450F1">
        <w:t>misdemeanours</w:t>
      </w:r>
      <w:proofErr w:type="spellEnd"/>
      <w:r w:rsidR="001A711E" w:rsidRPr="003450F1">
        <w:t xml:space="preserve">, the </w:t>
      </w:r>
      <w:r w:rsidR="00DF107C" w:rsidRPr="003450F1">
        <w:t xml:space="preserve">public </w:t>
      </w:r>
      <w:r w:rsidR="001A711E" w:rsidRPr="003450F1">
        <w:t xml:space="preserve">prosecutor </w:t>
      </w:r>
      <w:r w:rsidR="00F07A13" w:rsidRPr="003450F1">
        <w:t>may</w:t>
      </w:r>
      <w:r w:rsidR="001A711E" w:rsidRPr="003450F1">
        <w:t xml:space="preserve"> request</w:t>
      </w:r>
      <w:r w:rsidR="00F07A13" w:rsidRPr="003450F1">
        <w:t xml:space="preserve"> that</w:t>
      </w:r>
      <w:r w:rsidR="001A711E" w:rsidRPr="003450F1">
        <w:t xml:space="preserve"> the investigating judge order</w:t>
      </w:r>
      <w:r w:rsidR="00572217" w:rsidRPr="003450F1">
        <w:t>s</w:t>
      </w:r>
      <w:r w:rsidR="001A711E" w:rsidRPr="003450F1">
        <w:t xml:space="preserve"> a search</w:t>
      </w:r>
      <w:r w:rsidR="007C4BE7" w:rsidRPr="003450F1">
        <w:t xml:space="preserve"> of private premises</w:t>
      </w:r>
      <w:r w:rsidR="001A711E" w:rsidRPr="003450F1">
        <w:t xml:space="preserve">, a seizure, the hearing of a witness or an expertise, without </w:t>
      </w:r>
      <w:r w:rsidR="00692C38" w:rsidRPr="003450F1">
        <w:t>having opened a judicial inquiry</w:t>
      </w:r>
      <w:r w:rsidR="001A711E" w:rsidRPr="003450F1">
        <w:t xml:space="preserve">. </w:t>
      </w:r>
    </w:p>
    <w:p w14:paraId="2338EF83" w14:textId="7A15E889"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 xml:space="preserve">The </w:t>
      </w:r>
      <w:r w:rsidR="00692C38" w:rsidRPr="003450F1">
        <w:t xml:space="preserve">public </w:t>
      </w:r>
      <w:r w:rsidRPr="003450F1">
        <w:t xml:space="preserve">prosecutor may proceed in the same manner with regard to the </w:t>
      </w:r>
      <w:r w:rsidR="00692C38" w:rsidRPr="003450F1">
        <w:t>offences</w:t>
      </w:r>
      <w:r w:rsidRPr="003450F1">
        <w:t xml:space="preserve"> provided in articles 196 and 197 of the Criminal Code with regard to the use of the </w:t>
      </w:r>
      <w:r w:rsidR="00692C38" w:rsidRPr="003450F1">
        <w:t>forged documents</w:t>
      </w:r>
      <w:r w:rsidRPr="003450F1">
        <w:t xml:space="preserve"> provided in Article 196</w:t>
      </w:r>
      <w:r w:rsidR="00692C38" w:rsidRPr="003450F1">
        <w:t xml:space="preserve"> [forgery by a private person]</w:t>
      </w:r>
      <w:r w:rsidRPr="003450F1">
        <w:t xml:space="preserve">, and for the </w:t>
      </w:r>
      <w:r w:rsidR="00692C38" w:rsidRPr="003450F1">
        <w:t>offences</w:t>
      </w:r>
      <w:r w:rsidRPr="003450F1">
        <w:t xml:space="preserve"> provided in articles 467, 468 and 469 of the Criminal Code</w:t>
      </w:r>
      <w:r w:rsidR="00692C38" w:rsidRPr="003450F1">
        <w:t xml:space="preserve"> [theft with aggravating circumstances or with violence]</w:t>
      </w:r>
      <w:r w:rsidRPr="003450F1">
        <w:t>.</w:t>
      </w:r>
      <w:r w:rsidR="00692C38" w:rsidRPr="003450F1">
        <w:rPr>
          <w:rStyle w:val="Odwoanieprzypisudolnego"/>
        </w:rPr>
        <w:footnoteReference w:id="74"/>
      </w:r>
      <w:r w:rsidRPr="003450F1">
        <w:t xml:space="preserve"> </w:t>
      </w:r>
    </w:p>
    <w:p w14:paraId="5A4948F5" w14:textId="1921E10F" w:rsidR="001A711E" w:rsidRPr="003450F1" w:rsidRDefault="00CF5097"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i/>
        </w:rPr>
      </w:pPr>
      <w:r w:rsidRPr="003450F1">
        <w:rPr>
          <w:i/>
        </w:rPr>
        <w:t xml:space="preserve">With respect to </w:t>
      </w:r>
      <w:r w:rsidR="001A711E" w:rsidRPr="003450F1">
        <w:rPr>
          <w:i/>
        </w:rPr>
        <w:t xml:space="preserve">the </w:t>
      </w:r>
      <w:r w:rsidR="00692C38" w:rsidRPr="003450F1">
        <w:rPr>
          <w:i/>
        </w:rPr>
        <w:t>offences</w:t>
      </w:r>
      <w:r w:rsidR="001A711E" w:rsidRPr="003450F1">
        <w:rPr>
          <w:i/>
        </w:rPr>
        <w:t xml:space="preserve"> </w:t>
      </w:r>
      <w:r w:rsidR="00692C38" w:rsidRPr="003450F1">
        <w:rPr>
          <w:i/>
        </w:rPr>
        <w:t xml:space="preserve">referred to in </w:t>
      </w:r>
      <w:r w:rsidR="001A711E" w:rsidRPr="003450F1">
        <w:rPr>
          <w:i/>
        </w:rPr>
        <w:t>the pre</w:t>
      </w:r>
      <w:r w:rsidR="003D7421" w:rsidRPr="003450F1">
        <w:rPr>
          <w:i/>
        </w:rPr>
        <w:t>ce</w:t>
      </w:r>
      <w:r w:rsidR="001A711E" w:rsidRPr="003450F1">
        <w:rPr>
          <w:i/>
        </w:rPr>
        <w:t xml:space="preserve">ding paragraph and </w:t>
      </w:r>
      <w:r w:rsidR="003D7421" w:rsidRPr="003450F1">
        <w:rPr>
          <w:i/>
        </w:rPr>
        <w:t xml:space="preserve">the </w:t>
      </w:r>
      <w:proofErr w:type="spellStart"/>
      <w:r w:rsidR="00692C38" w:rsidRPr="003450F1">
        <w:rPr>
          <w:i/>
        </w:rPr>
        <w:t>misdemeanours</w:t>
      </w:r>
      <w:proofErr w:type="spellEnd"/>
      <w:r w:rsidR="003D7421" w:rsidRPr="003450F1">
        <w:rPr>
          <w:i/>
        </w:rPr>
        <w:t xml:space="preserve"> </w:t>
      </w:r>
      <w:r w:rsidR="004142E0" w:rsidRPr="003450F1">
        <w:rPr>
          <w:i/>
        </w:rPr>
        <w:t>punishable by</w:t>
      </w:r>
      <w:r w:rsidR="003D7421" w:rsidRPr="003450F1">
        <w:rPr>
          <w:i/>
        </w:rPr>
        <w:t xml:space="preserve"> </w:t>
      </w:r>
      <w:r w:rsidR="004142E0" w:rsidRPr="003450F1">
        <w:rPr>
          <w:rFonts w:cs="Arial"/>
          <w:i/>
        </w:rPr>
        <w:t xml:space="preserve">a correctional penalty of </w:t>
      </w:r>
      <w:r w:rsidR="00B75349" w:rsidRPr="003450F1">
        <w:rPr>
          <w:rFonts w:cs="Arial"/>
          <w:i/>
        </w:rPr>
        <w:t xml:space="preserve">a </w:t>
      </w:r>
      <w:r w:rsidR="004142E0" w:rsidRPr="003450F1">
        <w:rPr>
          <w:rFonts w:cs="Arial"/>
          <w:i/>
        </w:rPr>
        <w:t xml:space="preserve">maximum </w:t>
      </w:r>
      <w:r w:rsidR="00B75349" w:rsidRPr="003450F1">
        <w:rPr>
          <w:rFonts w:cs="Arial"/>
          <w:i/>
        </w:rPr>
        <w:t xml:space="preserve">of </w:t>
      </w:r>
      <w:r w:rsidR="004142E0" w:rsidRPr="003450F1">
        <w:rPr>
          <w:rFonts w:cs="Arial"/>
          <w:i/>
        </w:rPr>
        <w:t>one year or more</w:t>
      </w:r>
      <w:r w:rsidR="001A711E" w:rsidRPr="003450F1">
        <w:rPr>
          <w:i/>
        </w:rPr>
        <w:t xml:space="preserve">, the </w:t>
      </w:r>
      <w:r w:rsidR="00692C38" w:rsidRPr="003450F1">
        <w:rPr>
          <w:i/>
        </w:rPr>
        <w:t xml:space="preserve">public </w:t>
      </w:r>
      <w:r w:rsidR="001A711E" w:rsidRPr="003450F1">
        <w:rPr>
          <w:i/>
        </w:rPr>
        <w:t>prosecutor may request</w:t>
      </w:r>
      <w:r w:rsidR="00B75349" w:rsidRPr="003450F1">
        <w:rPr>
          <w:i/>
        </w:rPr>
        <w:t xml:space="preserve"> that</w:t>
      </w:r>
      <w:r w:rsidR="001A711E" w:rsidRPr="003450F1">
        <w:rPr>
          <w:i/>
        </w:rPr>
        <w:t xml:space="preserve"> the investigating judge order</w:t>
      </w:r>
      <w:r w:rsidR="00B75349" w:rsidRPr="003450F1">
        <w:rPr>
          <w:i/>
        </w:rPr>
        <w:t>s</w:t>
      </w:r>
      <w:r w:rsidR="001A711E" w:rsidRPr="003450F1">
        <w:rPr>
          <w:i/>
        </w:rPr>
        <w:t xml:space="preserve"> the measures provided in par</w:t>
      </w:r>
      <w:r w:rsidR="003D7421" w:rsidRPr="003450F1">
        <w:rPr>
          <w:i/>
        </w:rPr>
        <w:t>a</w:t>
      </w:r>
      <w:r w:rsidR="00692C38" w:rsidRPr="003450F1">
        <w:rPr>
          <w:i/>
        </w:rPr>
        <w:t>graphs</w:t>
      </w:r>
      <w:r w:rsidR="009D17C1" w:rsidRPr="003450F1">
        <w:rPr>
          <w:i/>
        </w:rPr>
        <w:t xml:space="preserve"> 1 and 2 of Article 67-1</w:t>
      </w:r>
      <w:r w:rsidR="00B75349" w:rsidRPr="003450F1">
        <w:rPr>
          <w:i/>
        </w:rPr>
        <w:t>,</w:t>
      </w:r>
      <w:r w:rsidR="001A711E" w:rsidRPr="003450F1">
        <w:rPr>
          <w:i/>
        </w:rPr>
        <w:t xml:space="preserve"> </w:t>
      </w:r>
      <w:r w:rsidR="00692C38" w:rsidRPr="003450F1">
        <w:rPr>
          <w:i/>
        </w:rPr>
        <w:t>without having opened a judicial inquiry</w:t>
      </w:r>
      <w:r w:rsidR="001A711E" w:rsidRPr="003450F1">
        <w:rPr>
          <w:i/>
        </w:rPr>
        <w:t>.</w:t>
      </w:r>
    </w:p>
    <w:p w14:paraId="4880CD13" w14:textId="1DD6AC94"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 xml:space="preserve">The person </w:t>
      </w:r>
      <w:r w:rsidR="003D7421" w:rsidRPr="003450F1">
        <w:t xml:space="preserve">whose means of </w:t>
      </w:r>
      <w:r w:rsidRPr="003450F1">
        <w:t xml:space="preserve">telecommunication has </w:t>
      </w:r>
      <w:r w:rsidR="009D17C1" w:rsidRPr="003450F1">
        <w:t>made</w:t>
      </w:r>
      <w:r w:rsidRPr="003450F1">
        <w:t xml:space="preserve"> the object of the measure provided in par</w:t>
      </w:r>
      <w:r w:rsidR="003D7421" w:rsidRPr="003450F1">
        <w:t>a</w:t>
      </w:r>
      <w:r w:rsidR="004142E0" w:rsidRPr="003450F1">
        <w:t>graph</w:t>
      </w:r>
      <w:r w:rsidRPr="003450F1">
        <w:t xml:space="preserve"> 1 of Article 67-1 is informed of the ordered measure in the same course of preliminary investigation and in any case in twelve months at the latest commencing from the date of issuance of the order.</w:t>
      </w:r>
    </w:p>
    <w:p w14:paraId="1048253A" w14:textId="0BD33A3A"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When the measures of trac</w:t>
      </w:r>
      <w:r w:rsidR="00572217" w:rsidRPr="003450F1">
        <w:t>k</w:t>
      </w:r>
      <w:r w:rsidRPr="003450F1">
        <w:t xml:space="preserve">ing of telecommunications as ordered by the investigating judge yield no outcome, the obtained data </w:t>
      </w:r>
      <w:r w:rsidRPr="003450F1">
        <w:rPr>
          <w:color w:val="000000"/>
          <w:lang w:eastAsia="fr-FR"/>
        </w:rPr>
        <w:t>shall</w:t>
      </w:r>
      <w:r w:rsidRPr="003450F1">
        <w:t xml:space="preserve"> be removed from the preliminary investigation file and destroyed to the extent that it refers to persons who are not included in the preliminary investigation. </w:t>
      </w:r>
    </w:p>
    <w:p w14:paraId="3AC8D4F3" w14:textId="34CBB6B1" w:rsidR="001A711E" w:rsidRPr="003450F1" w:rsidRDefault="00460303"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08"/>
        <w:jc w:val="both"/>
      </w:pPr>
      <w:r w:rsidRPr="003450F1">
        <w:t>(…)</w:t>
      </w:r>
    </w:p>
    <w:p w14:paraId="606D44AB" w14:textId="09AD90F8" w:rsidR="001A711E" w:rsidRPr="003450F1" w:rsidRDefault="001A711E" w:rsidP="009D17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 xml:space="preserve">(3) If the investigating judge </w:t>
      </w:r>
      <w:r w:rsidR="009D17C1" w:rsidRPr="003450F1">
        <w:t>returns</w:t>
      </w:r>
      <w:r w:rsidR="00CF5097" w:rsidRPr="003450F1">
        <w:t xml:space="preserve"> </w:t>
      </w:r>
      <w:r w:rsidRPr="003450F1">
        <w:t xml:space="preserve">the file, the persons included in the </w:t>
      </w:r>
      <w:r w:rsidR="009D17C1" w:rsidRPr="003450F1">
        <w:t xml:space="preserve">preliminary </w:t>
      </w:r>
      <w:r w:rsidRPr="003450F1">
        <w:t>investigation are</w:t>
      </w:r>
      <w:r w:rsidR="00CF5097" w:rsidRPr="003450F1">
        <w:t xml:space="preserve"> interrogated</w:t>
      </w:r>
      <w:r w:rsidRPr="003450F1">
        <w:t xml:space="preserve">, prior to the citation or </w:t>
      </w:r>
      <w:r w:rsidR="003D7421" w:rsidRPr="003450F1">
        <w:t>referral</w:t>
      </w:r>
      <w:r w:rsidRPr="003450F1">
        <w:t xml:space="preserve"> by the </w:t>
      </w:r>
      <w:r w:rsidR="008F6C2C" w:rsidRPr="003450F1">
        <w:t>investigating court [</w:t>
      </w:r>
      <w:r w:rsidR="009D17C1" w:rsidRPr="003450F1">
        <w:t>‘</w:t>
      </w:r>
      <w:r w:rsidR="009D17C1" w:rsidRPr="003450F1">
        <w:rPr>
          <w:i/>
        </w:rPr>
        <w:t>la</w:t>
      </w:r>
      <w:r w:rsidR="009D17C1" w:rsidRPr="003450F1">
        <w:t xml:space="preserve"> </w:t>
      </w:r>
      <w:proofErr w:type="spellStart"/>
      <w:r w:rsidR="009D17C1" w:rsidRPr="003450F1">
        <w:rPr>
          <w:i/>
        </w:rPr>
        <w:t>c</w:t>
      </w:r>
      <w:r w:rsidR="003D7421" w:rsidRPr="003450F1">
        <w:rPr>
          <w:i/>
        </w:rPr>
        <w:t>hambre</w:t>
      </w:r>
      <w:proofErr w:type="spellEnd"/>
      <w:r w:rsidR="003D7421" w:rsidRPr="003450F1">
        <w:rPr>
          <w:i/>
        </w:rPr>
        <w:t xml:space="preserve"> du </w:t>
      </w:r>
      <w:proofErr w:type="spellStart"/>
      <w:r w:rsidR="003D7421" w:rsidRPr="003450F1">
        <w:rPr>
          <w:i/>
        </w:rPr>
        <w:t>conseil</w:t>
      </w:r>
      <w:proofErr w:type="spellEnd"/>
      <w:r w:rsidR="009D17C1" w:rsidRPr="003450F1">
        <w:rPr>
          <w:i/>
        </w:rPr>
        <w:t>’</w:t>
      </w:r>
      <w:r w:rsidR="008F6C2C" w:rsidRPr="003450F1">
        <w:t>]</w:t>
      </w:r>
      <w:r w:rsidR="003D7421" w:rsidRPr="003450F1">
        <w:t xml:space="preserve"> to the trial court</w:t>
      </w:r>
      <w:r w:rsidRPr="003450F1">
        <w:t>.</w:t>
      </w:r>
      <w:r w:rsidR="009D17C1" w:rsidRPr="003450F1">
        <w:t xml:space="preserve"> </w:t>
      </w:r>
      <w:r w:rsidRPr="003450F1">
        <w:t xml:space="preserve">Before proceeding to the </w:t>
      </w:r>
      <w:r w:rsidR="00CF5097" w:rsidRPr="003450F1">
        <w:t>interrogation</w:t>
      </w:r>
      <w:r w:rsidRPr="003450F1">
        <w:t xml:space="preserve">, the officers </w:t>
      </w:r>
      <w:r w:rsidR="009D17C1" w:rsidRPr="003450F1">
        <w:t xml:space="preserve">and the agents </w:t>
      </w:r>
      <w:r w:rsidRPr="003450F1">
        <w:t xml:space="preserve">of the judicial police referred to in Article 13 </w:t>
      </w:r>
      <w:r w:rsidR="00CF5097" w:rsidRPr="003450F1">
        <w:t xml:space="preserve">inform </w:t>
      </w:r>
      <w:r w:rsidRPr="003450F1">
        <w:t>the respondent, in writing and with receipt, in a language wh</w:t>
      </w:r>
      <w:r w:rsidR="00CF5097" w:rsidRPr="003450F1">
        <w:t>ich the respondent understands</w:t>
      </w:r>
      <w:r w:rsidRPr="003450F1">
        <w:t>, of the right to receive legal assistance and advice</w:t>
      </w:r>
      <w:r w:rsidR="00CF5097" w:rsidRPr="003450F1">
        <w:t>, except in cases where it is duly established that this is materially impossible</w:t>
      </w:r>
      <w:r w:rsidRPr="003450F1">
        <w:t xml:space="preserve">. </w:t>
      </w:r>
    </w:p>
    <w:p w14:paraId="5AF045B6" w14:textId="1692065A"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(4) The</w:t>
      </w:r>
      <w:r w:rsidR="009D17C1" w:rsidRPr="003450F1">
        <w:t xml:space="preserve"> public</w:t>
      </w:r>
      <w:r w:rsidRPr="003450F1">
        <w:t xml:space="preserve"> prosecutor may not proceed to a second request, within the meaning of par</w:t>
      </w:r>
      <w:r w:rsidR="00CF5097" w:rsidRPr="003450F1">
        <w:t>a</w:t>
      </w:r>
      <w:r w:rsidR="009D17C1" w:rsidRPr="003450F1">
        <w:t>graph</w:t>
      </w:r>
      <w:r w:rsidRPr="003450F1">
        <w:t xml:space="preserve"> 1, within a period of three months after the investigating judge </w:t>
      </w:r>
      <w:r w:rsidR="009D17C1" w:rsidRPr="003450F1">
        <w:t>has returned the file to him</w:t>
      </w:r>
      <w:r w:rsidRPr="003450F1">
        <w:t xml:space="preserve">. </w:t>
      </w:r>
    </w:p>
    <w:p w14:paraId="4EAF3F0B" w14:textId="1E752910"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 xml:space="preserve">(5) The </w:t>
      </w:r>
      <w:r w:rsidR="008F6C2C" w:rsidRPr="003450F1">
        <w:t xml:space="preserve">public </w:t>
      </w:r>
      <w:r w:rsidRPr="003450F1">
        <w:t>prosecutor</w:t>
      </w:r>
      <w:r w:rsidR="008F6C2C" w:rsidRPr="003450F1">
        <w:t>, as well as</w:t>
      </w:r>
      <w:r w:rsidRPr="003450F1">
        <w:t xml:space="preserve"> any person concerned </w:t>
      </w:r>
      <w:r w:rsidR="008F6C2C" w:rsidRPr="003450F1">
        <w:t>having</w:t>
      </w:r>
      <w:r w:rsidRPr="003450F1">
        <w:t xml:space="preserve"> a legitimate personal interest can</w:t>
      </w:r>
      <w:r w:rsidR="00AE46E6" w:rsidRPr="003450F1">
        <w:t>,</w:t>
      </w:r>
      <w:r w:rsidRPr="003450F1">
        <w:t xml:space="preserve"> by si</w:t>
      </w:r>
      <w:r w:rsidR="00017ADA" w:rsidRPr="003450F1">
        <w:t>m</w:t>
      </w:r>
      <w:r w:rsidRPr="003450F1">
        <w:t>ple request</w:t>
      </w:r>
      <w:r w:rsidR="00AE46E6" w:rsidRPr="003450F1">
        <w:t>,</w:t>
      </w:r>
      <w:r w:rsidRPr="003450F1">
        <w:t xml:space="preserve"> </w:t>
      </w:r>
      <w:r w:rsidR="00AE46E6" w:rsidRPr="003450F1">
        <w:t>ask for</w:t>
      </w:r>
      <w:r w:rsidRPr="003450F1">
        <w:t xml:space="preserve"> t</w:t>
      </w:r>
      <w:r w:rsidR="00AE46E6" w:rsidRPr="003450F1">
        <w:t>he annulment of an investigative</w:t>
      </w:r>
      <w:r w:rsidRPr="003450F1">
        <w:t xml:space="preserve"> </w:t>
      </w:r>
      <w:r w:rsidR="00AE46E6" w:rsidRPr="003450F1">
        <w:t xml:space="preserve">measure </w:t>
      </w:r>
      <w:r w:rsidRPr="003450F1">
        <w:t xml:space="preserve">or of the </w:t>
      </w:r>
      <w:r w:rsidR="00AE46E6" w:rsidRPr="003450F1">
        <w:t>measures executing</w:t>
      </w:r>
      <w:r w:rsidRPr="003450F1">
        <w:t xml:space="preserve"> the latter.</w:t>
      </w:r>
      <w:r w:rsidR="00017ADA" w:rsidRPr="003450F1">
        <w:t>’</w:t>
      </w:r>
      <w:r w:rsidR="006031C7" w:rsidRPr="003450F1">
        <w:rPr>
          <w:rStyle w:val="Odwoanieprzypisudolnego"/>
        </w:rPr>
        <w:footnoteReference w:id="75"/>
      </w:r>
    </w:p>
    <w:p w14:paraId="5E624DD4" w14:textId="77777777" w:rsidR="00AE46E6" w:rsidRPr="003450F1" w:rsidRDefault="00AE46E6"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p>
    <w:p w14:paraId="3412605D" w14:textId="1766F23B" w:rsidR="001A711E" w:rsidRPr="003450F1" w:rsidRDefault="00AE46E6"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In addition to the trac</w:t>
      </w:r>
      <w:r w:rsidR="00572217" w:rsidRPr="003450F1">
        <w:t>k</w:t>
      </w:r>
      <w:r w:rsidRPr="003450F1">
        <w:t xml:space="preserve">ing and </w:t>
      </w:r>
      <w:proofErr w:type="spellStart"/>
      <w:r w:rsidR="00262F99" w:rsidRPr="003450F1">
        <w:t>localis</w:t>
      </w:r>
      <w:r w:rsidRPr="003450F1">
        <w:t>ation</w:t>
      </w:r>
      <w:proofErr w:type="spellEnd"/>
      <w:r w:rsidRPr="003450F1">
        <w:t xml:space="preserve"> of telecommunications, </w:t>
      </w:r>
      <w:r w:rsidR="001A711E" w:rsidRPr="003450F1">
        <w:t xml:space="preserve">the Law of 18 July 2014 approving the Budapest Convention introduced the possibility of a </w:t>
      </w:r>
      <w:r w:rsidR="001A711E" w:rsidRPr="003450F1">
        <w:rPr>
          <w:i/>
        </w:rPr>
        <w:t>quick freez</w:t>
      </w:r>
      <w:r w:rsidR="00DF406C" w:rsidRPr="003450F1">
        <w:rPr>
          <w:i/>
        </w:rPr>
        <w:t>ing of data</w:t>
      </w:r>
      <w:r w:rsidR="00DF406C" w:rsidRPr="003450F1">
        <w:t xml:space="preserve">, allowing for </w:t>
      </w:r>
      <w:r w:rsidR="0074757F" w:rsidRPr="003450F1">
        <w:t xml:space="preserve">the </w:t>
      </w:r>
      <w:r w:rsidR="00DF406C" w:rsidRPr="003450F1">
        <w:t>expedited preservation of computer data.</w:t>
      </w:r>
      <w:r w:rsidR="000A6060" w:rsidRPr="003450F1">
        <w:rPr>
          <w:rStyle w:val="Odwoanieprzypisudolnego"/>
        </w:rPr>
        <w:footnoteReference w:id="76"/>
      </w:r>
      <w:r w:rsidR="00DF406C" w:rsidRPr="003450F1">
        <w:t xml:space="preserve"> Undeniably, this measure can be </w:t>
      </w:r>
      <w:r w:rsidRPr="003450F1">
        <w:t xml:space="preserve">particularly useful </w:t>
      </w:r>
      <w:r w:rsidR="00DF406C" w:rsidRPr="003450F1">
        <w:t xml:space="preserve">in case of </w:t>
      </w:r>
      <w:r w:rsidRPr="003450F1">
        <w:t>volatile digital data</w:t>
      </w:r>
      <w:r w:rsidR="001A711E" w:rsidRPr="003450F1">
        <w:t xml:space="preserve">. </w:t>
      </w:r>
      <w:r w:rsidRPr="003450F1">
        <w:t>I</w:t>
      </w:r>
      <w:r w:rsidR="001A711E" w:rsidRPr="003450F1">
        <w:t>n this respect</w:t>
      </w:r>
      <w:r w:rsidRPr="003450F1">
        <w:t>,</w:t>
      </w:r>
      <w:r w:rsidR="001A711E" w:rsidRPr="003450F1">
        <w:t xml:space="preserve"> Article 48-25 Code of Criminal Procedure</w:t>
      </w:r>
      <w:r w:rsidRPr="003450F1">
        <w:t xml:space="preserve"> states</w:t>
      </w:r>
      <w:r w:rsidR="001A711E" w:rsidRPr="003450F1">
        <w:t>:</w:t>
      </w:r>
    </w:p>
    <w:p w14:paraId="4007A1AF" w14:textId="681123FB"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w:t>
      </w:r>
      <w:r w:rsidR="001A711E" w:rsidRPr="003450F1">
        <w:t xml:space="preserve">When there are reasons to believe that the data stored, processed or transmitted in a system of processing or automatic transmission of data, </w:t>
      </w:r>
      <w:r w:rsidR="00572217" w:rsidRPr="003450F1">
        <w:t xml:space="preserve">which are </w:t>
      </w:r>
      <w:r w:rsidR="001A711E" w:rsidRPr="003450F1">
        <w:t xml:space="preserve">useful for </w:t>
      </w:r>
      <w:r w:rsidR="00AE46E6" w:rsidRPr="003450F1">
        <w:t>revealing the truth, are</w:t>
      </w:r>
      <w:r w:rsidR="001A711E" w:rsidRPr="003450F1">
        <w:t xml:space="preserve"> </w:t>
      </w:r>
      <w:r w:rsidR="001A711E" w:rsidRPr="003450F1">
        <w:lastRenderedPageBreak/>
        <w:t xml:space="preserve">susceptible to loss or modification, the </w:t>
      </w:r>
      <w:r w:rsidR="00AE46E6" w:rsidRPr="003450F1">
        <w:t xml:space="preserve">public </w:t>
      </w:r>
      <w:r w:rsidR="001A711E" w:rsidRPr="003450F1">
        <w:t xml:space="preserve">prosecutor or the investigating judge may proceed to the rapid and immediate </w:t>
      </w:r>
      <w:r w:rsidR="00AE46E6" w:rsidRPr="003450F1">
        <w:t>freezing</w:t>
      </w:r>
      <w:r w:rsidR="001A711E" w:rsidRPr="003450F1">
        <w:t xml:space="preserve"> of the data, for a period not exceeding 90 days.</w:t>
      </w:r>
      <w:r w:rsidRPr="003450F1">
        <w:t>’</w:t>
      </w:r>
    </w:p>
    <w:p w14:paraId="7FD27E80" w14:textId="2186B6C9"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 scope of application of this provision extends to all types of electronic data, including traffic data </w:t>
      </w:r>
      <w:r w:rsidR="00262F99" w:rsidRPr="003450F1">
        <w:rPr>
          <w:rFonts w:ascii="Times New Roman" w:hAnsi="Times New Roman" w:cs="Times New Roman"/>
          <w:sz w:val="24"/>
          <w:szCs w:val="24"/>
          <w:lang w:val="en-US"/>
        </w:rPr>
        <w:t xml:space="preserve">but also </w:t>
      </w:r>
      <w:r w:rsidRPr="003450F1">
        <w:rPr>
          <w:rFonts w:ascii="Times New Roman" w:hAnsi="Times New Roman" w:cs="Times New Roman"/>
          <w:sz w:val="24"/>
          <w:szCs w:val="24"/>
          <w:lang w:val="en-US"/>
        </w:rPr>
        <w:t>content data</w:t>
      </w:r>
      <w:r w:rsidR="00262F99" w:rsidRPr="003450F1">
        <w:rPr>
          <w:rFonts w:ascii="Times New Roman" w:hAnsi="Times New Roman" w:cs="Times New Roman"/>
          <w:sz w:val="24"/>
          <w:szCs w:val="24"/>
          <w:lang w:val="en-US"/>
        </w:rPr>
        <w:t>,</w:t>
      </w:r>
      <w:r w:rsidRPr="003450F1">
        <w:rPr>
          <w:rStyle w:val="Odwoanieprzypisudolnego"/>
          <w:rFonts w:ascii="Times New Roman" w:hAnsi="Times New Roman" w:cs="Times New Roman"/>
          <w:sz w:val="24"/>
          <w:szCs w:val="24"/>
          <w:lang w:val="en-US"/>
        </w:rPr>
        <w:footnoteReference w:id="77"/>
      </w:r>
      <w:r w:rsidR="00262F99" w:rsidRPr="003450F1">
        <w:rPr>
          <w:rFonts w:ascii="Times New Roman" w:hAnsi="Times New Roman" w:cs="Times New Roman"/>
          <w:sz w:val="24"/>
          <w:szCs w:val="24"/>
          <w:lang w:val="en-US"/>
        </w:rPr>
        <w:t xml:space="preserve"> which brings us to the next category of data.</w:t>
      </w:r>
    </w:p>
    <w:p w14:paraId="293F8433" w14:textId="77777777" w:rsidR="006031C7" w:rsidRPr="003450F1" w:rsidRDefault="006031C7" w:rsidP="00D3525A">
      <w:pPr>
        <w:pStyle w:val="Hoofdtekst"/>
        <w:spacing w:after="120"/>
        <w:jc w:val="both"/>
        <w:outlineLvl w:val="0"/>
        <w:rPr>
          <w:rFonts w:ascii="Times New Roman" w:hAnsi="Times New Roman" w:cs="Times New Roman"/>
          <w:b/>
          <w:sz w:val="24"/>
          <w:szCs w:val="24"/>
          <w:lang w:val="en-US"/>
        </w:rPr>
      </w:pPr>
    </w:p>
    <w:p w14:paraId="494C0317" w14:textId="77777777" w:rsidR="001A711E" w:rsidRPr="003450F1" w:rsidRDefault="001A711E" w:rsidP="00D3525A">
      <w:pPr>
        <w:pStyle w:val="Hoofdtekst"/>
        <w:spacing w:after="120"/>
        <w:jc w:val="both"/>
        <w:outlineLvl w:val="0"/>
        <w:rPr>
          <w:rFonts w:ascii="Times New Roman" w:hAnsi="Times New Roman" w:cs="Times New Roman"/>
          <w:b/>
          <w:sz w:val="24"/>
          <w:szCs w:val="24"/>
          <w:lang w:val="en-US"/>
        </w:rPr>
      </w:pPr>
      <w:r w:rsidRPr="003450F1">
        <w:rPr>
          <w:rFonts w:ascii="Times New Roman" w:hAnsi="Times New Roman" w:cs="Times New Roman"/>
          <w:b/>
          <w:sz w:val="24"/>
          <w:szCs w:val="24"/>
          <w:lang w:val="en-US"/>
        </w:rPr>
        <w:t>Content data</w:t>
      </w:r>
    </w:p>
    <w:p w14:paraId="041F5650" w14:textId="77777777"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When </w:t>
      </w:r>
      <w:proofErr w:type="spellStart"/>
      <w:r w:rsidRPr="003450F1">
        <w:rPr>
          <w:rFonts w:ascii="Times New Roman" w:hAnsi="Times New Roman" w:cs="Times New Roman"/>
          <w:sz w:val="24"/>
          <w:szCs w:val="24"/>
          <w:lang w:val="en-US"/>
        </w:rPr>
        <w:t>analysing</w:t>
      </w:r>
      <w:proofErr w:type="spellEnd"/>
      <w:r w:rsidRPr="003450F1">
        <w:rPr>
          <w:rFonts w:ascii="Times New Roman" w:hAnsi="Times New Roman" w:cs="Times New Roman"/>
          <w:sz w:val="24"/>
          <w:szCs w:val="24"/>
          <w:lang w:val="en-US"/>
        </w:rPr>
        <w:t xml:space="preserve"> the legal requirements concerning the access to content data, one should distinguish between the </w:t>
      </w:r>
      <w:r w:rsidRPr="003450F1">
        <w:rPr>
          <w:rFonts w:ascii="Times New Roman" w:hAnsi="Times New Roman" w:cs="Times New Roman"/>
          <w:i/>
          <w:sz w:val="24"/>
          <w:szCs w:val="24"/>
          <w:lang w:val="en-US"/>
        </w:rPr>
        <w:t>interception</w:t>
      </w:r>
      <w:r w:rsidRPr="003450F1">
        <w:rPr>
          <w:rFonts w:ascii="Times New Roman" w:hAnsi="Times New Roman" w:cs="Times New Roman"/>
          <w:sz w:val="24"/>
          <w:szCs w:val="24"/>
          <w:lang w:val="en-US"/>
        </w:rPr>
        <w:t xml:space="preserve"> of data in the course of their transmission and the </w:t>
      </w:r>
      <w:r w:rsidRPr="003450F1">
        <w:rPr>
          <w:rFonts w:ascii="Times New Roman" w:hAnsi="Times New Roman" w:cs="Times New Roman"/>
          <w:i/>
          <w:sz w:val="24"/>
          <w:szCs w:val="24"/>
          <w:lang w:val="en-US"/>
        </w:rPr>
        <w:t>seizure of stored data</w:t>
      </w:r>
      <w:r w:rsidRPr="003450F1">
        <w:rPr>
          <w:rFonts w:ascii="Times New Roman" w:hAnsi="Times New Roman" w:cs="Times New Roman"/>
          <w:sz w:val="24"/>
          <w:szCs w:val="24"/>
          <w:lang w:val="en-US"/>
        </w:rPr>
        <w:t>.</w:t>
      </w:r>
    </w:p>
    <w:p w14:paraId="413EDD15" w14:textId="08FE1830"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 main provisions relating to the </w:t>
      </w:r>
      <w:r w:rsidRPr="003450F1">
        <w:rPr>
          <w:rFonts w:ascii="Times New Roman" w:hAnsi="Times New Roman" w:cs="Times New Roman"/>
          <w:i/>
          <w:sz w:val="24"/>
          <w:szCs w:val="24"/>
          <w:lang w:val="en-US"/>
        </w:rPr>
        <w:t>interception of data</w:t>
      </w:r>
      <w:r w:rsidRPr="003450F1">
        <w:rPr>
          <w:rFonts w:ascii="Times New Roman" w:hAnsi="Times New Roman" w:cs="Times New Roman"/>
          <w:sz w:val="24"/>
          <w:szCs w:val="24"/>
          <w:lang w:val="en-US"/>
        </w:rPr>
        <w:t xml:space="preserve"> are Articles 88-1 to 88-4 of the Code of Criminal Procedure. These provisions regulate the use of technical equipment for the surveillance and monitoring of </w:t>
      </w:r>
      <w:r w:rsidRPr="003450F1">
        <w:rPr>
          <w:rFonts w:ascii="Times New Roman" w:hAnsi="Times New Roman" w:cs="Times New Roman"/>
          <w:i/>
          <w:sz w:val="24"/>
          <w:szCs w:val="24"/>
          <w:lang w:val="en-US"/>
        </w:rPr>
        <w:t>any form of communication</w:t>
      </w:r>
      <w:r w:rsidRPr="003450F1">
        <w:rPr>
          <w:rFonts w:ascii="Times New Roman" w:hAnsi="Times New Roman" w:cs="Times New Roman"/>
          <w:sz w:val="24"/>
          <w:szCs w:val="24"/>
          <w:lang w:val="en-US"/>
        </w:rPr>
        <w:t xml:space="preserve"> (Article 88-1 and 88-2), with a number of specific procedural rules applicable</w:t>
      </w:r>
      <w:r w:rsidR="00133511" w:rsidRPr="003450F1">
        <w:rPr>
          <w:rFonts w:ascii="Times New Roman" w:hAnsi="Times New Roman" w:cs="Times New Roman"/>
          <w:sz w:val="24"/>
          <w:szCs w:val="24"/>
          <w:lang w:val="en-US"/>
        </w:rPr>
        <w:t xml:space="preserve"> to offences against the </w:t>
      </w:r>
      <w:r w:rsidR="00A11FB4" w:rsidRPr="003450F1">
        <w:rPr>
          <w:rFonts w:ascii="Times New Roman" w:hAnsi="Times New Roman" w:cs="Times New Roman"/>
          <w:sz w:val="24"/>
          <w:szCs w:val="24"/>
          <w:lang w:val="en-US"/>
        </w:rPr>
        <w:t xml:space="preserve">external security of the </w:t>
      </w:r>
      <w:r w:rsidR="00133511" w:rsidRPr="003450F1">
        <w:rPr>
          <w:rFonts w:ascii="Times New Roman" w:hAnsi="Times New Roman" w:cs="Times New Roman"/>
          <w:sz w:val="24"/>
          <w:szCs w:val="24"/>
          <w:lang w:val="en-US"/>
        </w:rPr>
        <w:t xml:space="preserve">State, </w:t>
      </w:r>
      <w:r w:rsidRPr="003450F1">
        <w:rPr>
          <w:rFonts w:ascii="Times New Roman" w:hAnsi="Times New Roman" w:cs="Times New Roman"/>
          <w:sz w:val="24"/>
          <w:szCs w:val="24"/>
          <w:lang w:val="en-US"/>
        </w:rPr>
        <w:t>po</w:t>
      </w:r>
      <w:r w:rsidR="00133511" w:rsidRPr="003450F1">
        <w:rPr>
          <w:rFonts w:ascii="Times New Roman" w:hAnsi="Times New Roman" w:cs="Times New Roman"/>
          <w:sz w:val="24"/>
          <w:szCs w:val="24"/>
          <w:lang w:val="en-US"/>
        </w:rPr>
        <w:t>ssibly including cyberterrorism</w:t>
      </w:r>
      <w:r w:rsidRPr="003450F1">
        <w:rPr>
          <w:rFonts w:ascii="Times New Roman" w:hAnsi="Times New Roman" w:cs="Times New Roman"/>
          <w:sz w:val="24"/>
          <w:szCs w:val="24"/>
          <w:lang w:val="en-US"/>
        </w:rPr>
        <w:t xml:space="preserve"> </w:t>
      </w:r>
      <w:r w:rsidR="00133511" w:rsidRPr="003450F1">
        <w:rPr>
          <w:rFonts w:ascii="Times New Roman" w:hAnsi="Times New Roman" w:cs="Times New Roman"/>
          <w:sz w:val="24"/>
          <w:szCs w:val="24"/>
          <w:lang w:val="en-US"/>
        </w:rPr>
        <w:t>(</w:t>
      </w:r>
      <w:r w:rsidRPr="003450F1">
        <w:rPr>
          <w:rFonts w:ascii="Times New Roman" w:hAnsi="Times New Roman" w:cs="Times New Roman"/>
          <w:sz w:val="24"/>
          <w:szCs w:val="24"/>
          <w:lang w:val="en-US"/>
        </w:rPr>
        <w:t>Articles 88-3 and 88-4).</w:t>
      </w:r>
    </w:p>
    <w:p w14:paraId="23B433F1" w14:textId="7777777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3450F1">
        <w:rPr>
          <w:rFonts w:eastAsiaTheme="minorEastAsia"/>
          <w:bdr w:val="none" w:sz="0" w:space="0" w:color="auto"/>
          <w:lang w:eastAsia="nl-NL"/>
        </w:rPr>
        <w:t>In particular, Article 88-1 states:</w:t>
      </w:r>
    </w:p>
    <w:p w14:paraId="533958B3" w14:textId="6C2EEF76"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w:t>
      </w:r>
      <w:r w:rsidR="001A711E" w:rsidRPr="003450F1">
        <w:t xml:space="preserve">The investigating judge can, exceptionally and </w:t>
      </w:r>
      <w:r w:rsidR="00133511" w:rsidRPr="003450F1">
        <w:t xml:space="preserve">by means of </w:t>
      </w:r>
      <w:r w:rsidR="001A711E" w:rsidRPr="003450F1">
        <w:t xml:space="preserve">a decision </w:t>
      </w:r>
      <w:r w:rsidR="00133511" w:rsidRPr="003450F1">
        <w:t xml:space="preserve">giving special reasons based on factual elements </w:t>
      </w:r>
      <w:r w:rsidR="001A711E" w:rsidRPr="003450F1">
        <w:t xml:space="preserve">and with reference to the conditions mentioned hereinafter, order the use of technical means of </w:t>
      </w:r>
      <w:r w:rsidR="00072EA1" w:rsidRPr="003450F1">
        <w:t>surveillance</w:t>
      </w:r>
      <w:r w:rsidR="001A711E" w:rsidRPr="003450F1">
        <w:t xml:space="preserve"> and monitoring of </w:t>
      </w:r>
      <w:r w:rsidR="001A711E" w:rsidRPr="003450F1">
        <w:rPr>
          <w:i/>
        </w:rPr>
        <w:t>all forms of commun</w:t>
      </w:r>
      <w:r w:rsidR="00CF5097" w:rsidRPr="003450F1">
        <w:rPr>
          <w:i/>
        </w:rPr>
        <w:t>i</w:t>
      </w:r>
      <w:r w:rsidR="001A711E" w:rsidRPr="003450F1">
        <w:rPr>
          <w:i/>
        </w:rPr>
        <w:t>cation</w:t>
      </w:r>
      <w:r w:rsidR="001A711E" w:rsidRPr="003450F1">
        <w:t xml:space="preserve">, if: </w:t>
      </w:r>
    </w:p>
    <w:p w14:paraId="5A0CB50D" w14:textId="5DAA3574"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a) the criminal</w:t>
      </w:r>
      <w:r w:rsidR="00133511" w:rsidRPr="003450F1">
        <w:t xml:space="preserve"> prosecution </w:t>
      </w:r>
      <w:r w:rsidR="0057462F" w:rsidRPr="003450F1">
        <w:t xml:space="preserve">concerns </w:t>
      </w:r>
      <w:r w:rsidR="00133511" w:rsidRPr="003450F1">
        <w:t>a</w:t>
      </w:r>
      <w:r w:rsidRPr="003450F1">
        <w:t xml:space="preserve"> </w:t>
      </w:r>
      <w:r w:rsidR="00133511" w:rsidRPr="003450F1">
        <w:t>f</w:t>
      </w:r>
      <w:r w:rsidRPr="003450F1">
        <w:t xml:space="preserve">act of particular gravity </w:t>
      </w:r>
      <w:r w:rsidR="004142E0" w:rsidRPr="003450F1">
        <w:t xml:space="preserve">punishable by </w:t>
      </w:r>
      <w:r w:rsidR="004142E0" w:rsidRPr="003450F1">
        <w:rPr>
          <w:rFonts w:cs="Arial"/>
        </w:rPr>
        <w:t xml:space="preserve">a criminal penalty or a correctional penalty of </w:t>
      </w:r>
      <w:r w:rsidR="00B75349" w:rsidRPr="003450F1">
        <w:rPr>
          <w:rFonts w:cs="Arial"/>
        </w:rPr>
        <w:t xml:space="preserve">a </w:t>
      </w:r>
      <w:r w:rsidR="004142E0" w:rsidRPr="003450F1">
        <w:rPr>
          <w:rFonts w:cs="Arial"/>
        </w:rPr>
        <w:t xml:space="preserve">maximum </w:t>
      </w:r>
      <w:r w:rsidR="00B75349" w:rsidRPr="003450F1">
        <w:rPr>
          <w:rFonts w:cs="Arial"/>
        </w:rPr>
        <w:t xml:space="preserve">of </w:t>
      </w:r>
      <w:r w:rsidR="004142E0" w:rsidRPr="003450F1">
        <w:rPr>
          <w:rFonts w:cs="Arial"/>
        </w:rPr>
        <w:t>two year</w:t>
      </w:r>
      <w:r w:rsidR="00B75349" w:rsidRPr="003450F1">
        <w:rPr>
          <w:rFonts w:cs="Arial"/>
        </w:rPr>
        <w:t>s</w:t>
      </w:r>
      <w:r w:rsidR="004142E0" w:rsidRPr="003450F1">
        <w:rPr>
          <w:rFonts w:cs="Arial"/>
        </w:rPr>
        <w:t xml:space="preserve"> or more</w:t>
      </w:r>
      <w:r w:rsidR="00460303" w:rsidRPr="003450F1">
        <w:t>; and if (…)</w:t>
      </w:r>
    </w:p>
    <w:p w14:paraId="5F319FF7" w14:textId="749E4D1D" w:rsidR="00421902" w:rsidRPr="003450F1" w:rsidRDefault="00421902" w:rsidP="004603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t>c) ordinary investigative</w:t>
      </w:r>
      <w:r w:rsidR="001A711E" w:rsidRPr="003450F1">
        <w:t xml:space="preserve"> measures </w:t>
      </w:r>
      <w:r w:rsidRPr="003450F1">
        <w:t>appear to be ineffective due to the nature of the facts and the specific circumstances of the case.</w:t>
      </w:r>
    </w:p>
    <w:p w14:paraId="42853D90" w14:textId="5F97A7FB" w:rsidR="001A711E" w:rsidRPr="003450F1" w:rsidRDefault="00421902" w:rsidP="004219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rPr>
          <w:color w:val="000000"/>
          <w:lang w:eastAsia="fr-FR"/>
        </w:rPr>
        <w:t xml:space="preserve">The ordered measures </w:t>
      </w:r>
      <w:r w:rsidR="001A711E" w:rsidRPr="003450F1">
        <w:rPr>
          <w:color w:val="000000"/>
          <w:lang w:eastAsia="fr-FR"/>
        </w:rPr>
        <w:t>shall</w:t>
      </w:r>
      <w:r w:rsidR="001A711E" w:rsidRPr="003450F1">
        <w:t xml:space="preserve"> be lifted as soon as they are no longer necessary. They </w:t>
      </w:r>
      <w:r w:rsidR="001A711E" w:rsidRPr="003450F1">
        <w:rPr>
          <w:color w:val="000000"/>
          <w:lang w:eastAsia="fr-FR"/>
        </w:rPr>
        <w:t>shall</w:t>
      </w:r>
      <w:r w:rsidR="001A711E" w:rsidRPr="003450F1">
        <w:t xml:space="preserve"> be automatically terminated one month </w:t>
      </w:r>
      <w:r w:rsidRPr="003450F1">
        <w:t>after</w:t>
      </w:r>
      <w:r w:rsidR="001A711E" w:rsidRPr="003450F1">
        <w:t xml:space="preserve"> the dat</w:t>
      </w:r>
      <w:r w:rsidRPr="003450F1">
        <w:t xml:space="preserve">e of the issuance of the order. </w:t>
      </w:r>
      <w:r w:rsidR="001A711E" w:rsidRPr="003450F1">
        <w:t xml:space="preserve">They may, however, be extended each time for a month, </w:t>
      </w:r>
      <w:r w:rsidRPr="003450F1">
        <w:t xml:space="preserve">yet </w:t>
      </w:r>
      <w:r w:rsidR="001A711E" w:rsidRPr="003450F1">
        <w:t xml:space="preserve">without the total duration exceeding one year, by </w:t>
      </w:r>
      <w:r w:rsidRPr="003450F1">
        <w:t>an</w:t>
      </w:r>
      <w:r w:rsidR="001A711E" w:rsidRPr="003450F1">
        <w:t xml:space="preserve"> order of the investigating judge</w:t>
      </w:r>
      <w:r w:rsidRPr="003450F1">
        <w:t xml:space="preserve"> which gives reasons and which is </w:t>
      </w:r>
      <w:r w:rsidR="001A711E" w:rsidRPr="003450F1">
        <w:t xml:space="preserve">approved by the president of the </w:t>
      </w:r>
      <w:r w:rsidRPr="003450F1">
        <w:t>investigating chamber [‘</w:t>
      </w:r>
      <w:proofErr w:type="spellStart"/>
      <w:r w:rsidRPr="003450F1">
        <w:rPr>
          <w:i/>
        </w:rPr>
        <w:t>chambre</w:t>
      </w:r>
      <w:proofErr w:type="spellEnd"/>
      <w:r w:rsidRPr="003450F1">
        <w:rPr>
          <w:i/>
        </w:rPr>
        <w:t xml:space="preserve"> du </w:t>
      </w:r>
      <w:proofErr w:type="spellStart"/>
      <w:r w:rsidRPr="003450F1">
        <w:rPr>
          <w:i/>
        </w:rPr>
        <w:t>conseil</w:t>
      </w:r>
      <w:proofErr w:type="spellEnd"/>
      <w:r w:rsidRPr="003450F1">
        <w:t xml:space="preserve">’] of the </w:t>
      </w:r>
      <w:r w:rsidR="00F07A13" w:rsidRPr="003450F1">
        <w:t>C</w:t>
      </w:r>
      <w:r w:rsidRPr="003450F1">
        <w:t xml:space="preserve">ourt of </w:t>
      </w:r>
      <w:r w:rsidR="00F07A13" w:rsidRPr="003450F1">
        <w:t>A</w:t>
      </w:r>
      <w:r w:rsidRPr="003450F1">
        <w:t>ppeal</w:t>
      </w:r>
      <w:r w:rsidR="00F07A13" w:rsidRPr="003450F1">
        <w:t>s</w:t>
      </w:r>
      <w:r w:rsidRPr="003450F1">
        <w:t xml:space="preserve">. The </w:t>
      </w:r>
      <w:r w:rsidR="00F07A13" w:rsidRPr="003450F1">
        <w:t>C</w:t>
      </w:r>
      <w:r w:rsidRPr="003450F1">
        <w:t xml:space="preserve">ourt of </w:t>
      </w:r>
      <w:r w:rsidR="00F07A13" w:rsidRPr="003450F1">
        <w:t>A</w:t>
      </w:r>
      <w:r w:rsidRPr="003450F1">
        <w:t>ppeal</w:t>
      </w:r>
      <w:r w:rsidR="00F07A13" w:rsidRPr="003450F1">
        <w:t>s</w:t>
      </w:r>
      <w:r w:rsidR="001A711E" w:rsidRPr="003450F1">
        <w:t xml:space="preserve"> shall rule within two days from the reception of the order, </w:t>
      </w:r>
      <w:r w:rsidRPr="003450F1">
        <w:t xml:space="preserve">after having heard </w:t>
      </w:r>
      <w:r w:rsidR="00017ADA" w:rsidRPr="003450F1">
        <w:t>the opinion of the</w:t>
      </w:r>
      <w:r w:rsidRPr="003450F1">
        <w:t xml:space="preserve"> public</w:t>
      </w:r>
      <w:r w:rsidR="00017ADA" w:rsidRPr="003450F1">
        <w:t xml:space="preserve"> prosecutor</w:t>
      </w:r>
      <w:r w:rsidRPr="003450F1">
        <w:t xml:space="preserve"> general</w:t>
      </w:r>
      <w:r w:rsidR="00017ADA" w:rsidRPr="003450F1">
        <w:t>.’</w:t>
      </w:r>
      <w:r w:rsidRPr="003450F1">
        <w:rPr>
          <w:rStyle w:val="Odwoanieprzypisudolnego"/>
        </w:rPr>
        <w:footnoteReference w:id="78"/>
      </w:r>
    </w:p>
    <w:p w14:paraId="0C978FBD" w14:textId="7777777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3450F1">
        <w:rPr>
          <w:rFonts w:eastAsiaTheme="minorEastAsia"/>
          <w:bCs/>
          <w:bdr w:val="none" w:sz="0" w:space="0" w:color="auto"/>
          <w:lang w:eastAsia="nl-NL"/>
        </w:rPr>
        <w:t>Article 88-2 continues as follows:</w:t>
      </w:r>
    </w:p>
    <w:p w14:paraId="4CD257D8" w14:textId="11F200A9" w:rsidR="009509A0"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w:t>
      </w:r>
      <w:r w:rsidR="001A711E" w:rsidRPr="003450F1">
        <w:rPr>
          <w:rFonts w:eastAsiaTheme="minorEastAsia"/>
          <w:bdr w:val="none" w:sz="0" w:space="0" w:color="auto"/>
          <w:lang w:eastAsia="nl-NL"/>
        </w:rPr>
        <w:t xml:space="preserve">The decisions by virtue of which the investigating judge or the president of the </w:t>
      </w:r>
      <w:r w:rsidR="00421902" w:rsidRPr="003450F1">
        <w:rPr>
          <w:rFonts w:eastAsiaTheme="minorEastAsia"/>
          <w:bdr w:val="none" w:sz="0" w:space="0" w:color="auto"/>
          <w:lang w:eastAsia="nl-NL"/>
        </w:rPr>
        <w:t>investigating</w:t>
      </w:r>
      <w:r w:rsidR="001A711E" w:rsidRPr="003450F1">
        <w:rPr>
          <w:rFonts w:eastAsiaTheme="minorEastAsia"/>
          <w:bdr w:val="none" w:sz="0" w:space="0" w:color="auto"/>
          <w:lang w:eastAsia="nl-NL"/>
        </w:rPr>
        <w:t xml:space="preserve"> chamber </w:t>
      </w:r>
      <w:r w:rsidR="00421902" w:rsidRPr="003450F1">
        <w:rPr>
          <w:rFonts w:eastAsiaTheme="minorEastAsia"/>
          <w:bdr w:val="none" w:sz="0" w:space="0" w:color="auto"/>
          <w:lang w:eastAsia="nl-NL"/>
        </w:rPr>
        <w:t xml:space="preserve">of the </w:t>
      </w:r>
      <w:r w:rsidR="00F07A13" w:rsidRPr="003450F1">
        <w:rPr>
          <w:rFonts w:eastAsiaTheme="minorEastAsia"/>
          <w:bdr w:val="none" w:sz="0" w:space="0" w:color="auto"/>
          <w:lang w:eastAsia="nl-NL"/>
        </w:rPr>
        <w:t>C</w:t>
      </w:r>
      <w:r w:rsidR="00421902" w:rsidRPr="003450F1">
        <w:rPr>
          <w:rFonts w:eastAsiaTheme="minorEastAsia"/>
          <w:bdr w:val="none" w:sz="0" w:space="0" w:color="auto"/>
          <w:lang w:eastAsia="nl-NL"/>
        </w:rPr>
        <w:t xml:space="preserve">ourt of </w:t>
      </w:r>
      <w:r w:rsidR="00F07A13" w:rsidRPr="003450F1">
        <w:rPr>
          <w:rFonts w:eastAsiaTheme="minorEastAsia"/>
          <w:bdr w:val="none" w:sz="0" w:space="0" w:color="auto"/>
          <w:lang w:eastAsia="nl-NL"/>
        </w:rPr>
        <w:t xml:space="preserve">Appeals </w:t>
      </w:r>
      <w:r w:rsidR="001A711E" w:rsidRPr="003450F1">
        <w:rPr>
          <w:rFonts w:eastAsiaTheme="minorEastAsia"/>
          <w:bdr w:val="none" w:sz="0" w:space="0" w:color="auto"/>
          <w:lang w:eastAsia="nl-NL"/>
        </w:rPr>
        <w:t xml:space="preserve">ordered the </w:t>
      </w:r>
      <w:r w:rsidR="00072EA1" w:rsidRPr="003450F1">
        <w:rPr>
          <w:rFonts w:eastAsiaTheme="minorEastAsia"/>
          <w:bdr w:val="none" w:sz="0" w:space="0" w:color="auto"/>
          <w:lang w:eastAsia="nl-NL"/>
        </w:rPr>
        <w:t>surveillance</w:t>
      </w:r>
      <w:r w:rsidR="001A711E" w:rsidRPr="003450F1">
        <w:rPr>
          <w:rFonts w:eastAsiaTheme="minorEastAsia"/>
          <w:bdr w:val="none" w:sz="0" w:space="0" w:color="auto"/>
          <w:lang w:eastAsia="nl-NL"/>
        </w:rPr>
        <w:t xml:space="preserve"> and </w:t>
      </w:r>
      <w:r w:rsidR="00421902" w:rsidRPr="003450F1">
        <w:rPr>
          <w:rFonts w:eastAsiaTheme="minorEastAsia"/>
          <w:bdr w:val="none" w:sz="0" w:space="0" w:color="auto"/>
          <w:lang w:eastAsia="nl-NL"/>
        </w:rPr>
        <w:t xml:space="preserve">the </w:t>
      </w:r>
      <w:r w:rsidR="001A711E" w:rsidRPr="003450F1">
        <w:rPr>
          <w:rFonts w:eastAsiaTheme="minorEastAsia"/>
          <w:bdr w:val="none" w:sz="0" w:space="0" w:color="auto"/>
          <w:lang w:eastAsia="nl-NL"/>
        </w:rPr>
        <w:t>monitoring of telecommunications, as well as the correspondence entr</w:t>
      </w:r>
      <w:r w:rsidR="00421902" w:rsidRPr="003450F1">
        <w:rPr>
          <w:rFonts w:eastAsiaTheme="minorEastAsia"/>
          <w:bdr w:val="none" w:sz="0" w:space="0" w:color="auto"/>
          <w:lang w:eastAsia="nl-NL"/>
        </w:rPr>
        <w:t>usted to the post</w:t>
      </w:r>
      <w:r w:rsidR="00CF5097" w:rsidRPr="003450F1">
        <w:rPr>
          <w:rFonts w:eastAsiaTheme="minorEastAsia"/>
          <w:bdr w:val="none" w:sz="0" w:space="0" w:color="auto"/>
          <w:lang w:eastAsia="nl-NL"/>
        </w:rPr>
        <w:t>, wil</w:t>
      </w:r>
      <w:r w:rsidR="001A711E" w:rsidRPr="003450F1">
        <w:rPr>
          <w:rFonts w:eastAsiaTheme="minorEastAsia"/>
          <w:bdr w:val="none" w:sz="0" w:space="0" w:color="auto"/>
          <w:lang w:eastAsia="nl-NL"/>
        </w:rPr>
        <w:t>l be notified to the operators of the postal service</w:t>
      </w:r>
      <w:r w:rsidR="009509A0" w:rsidRPr="003450F1">
        <w:rPr>
          <w:rFonts w:eastAsiaTheme="minorEastAsia"/>
          <w:bdr w:val="none" w:sz="0" w:space="0" w:color="auto"/>
          <w:lang w:eastAsia="nl-NL"/>
        </w:rPr>
        <w:t>s</w:t>
      </w:r>
      <w:r w:rsidR="001A711E" w:rsidRPr="003450F1">
        <w:rPr>
          <w:rFonts w:eastAsiaTheme="minorEastAsia"/>
          <w:bdr w:val="none" w:sz="0" w:space="0" w:color="auto"/>
          <w:lang w:eastAsia="nl-NL"/>
        </w:rPr>
        <w:t xml:space="preserve"> and telecommunic</w:t>
      </w:r>
      <w:r w:rsidR="009509A0" w:rsidRPr="003450F1">
        <w:rPr>
          <w:rFonts w:eastAsiaTheme="minorEastAsia"/>
          <w:bdr w:val="none" w:sz="0" w:space="0" w:color="auto"/>
          <w:lang w:eastAsia="nl-NL"/>
        </w:rPr>
        <w:t>ations, which</w:t>
      </w:r>
      <w:r w:rsidR="001A711E" w:rsidRPr="003450F1">
        <w:rPr>
          <w:rFonts w:eastAsiaTheme="minorEastAsia"/>
          <w:bdr w:val="none" w:sz="0" w:space="0" w:color="auto"/>
          <w:lang w:eastAsia="nl-NL"/>
        </w:rPr>
        <w:t xml:space="preserve"> </w:t>
      </w:r>
      <w:r w:rsidR="001A711E" w:rsidRPr="003450F1">
        <w:rPr>
          <w:color w:val="000000"/>
          <w:lang w:eastAsia="fr-FR"/>
        </w:rPr>
        <w:t>shall</w:t>
      </w:r>
      <w:r w:rsidR="001A711E" w:rsidRPr="003450F1">
        <w:rPr>
          <w:rFonts w:eastAsiaTheme="minorEastAsia"/>
          <w:bdr w:val="none" w:sz="0" w:space="0" w:color="auto"/>
          <w:lang w:eastAsia="nl-NL"/>
        </w:rPr>
        <w:t xml:space="preserve"> execute them without delay. </w:t>
      </w:r>
    </w:p>
    <w:p w14:paraId="2D71F1A5" w14:textId="3DA8DFD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These decisions and the</w:t>
      </w:r>
      <w:r w:rsidR="009509A0" w:rsidRPr="003450F1">
        <w:rPr>
          <w:rFonts w:eastAsiaTheme="minorEastAsia"/>
          <w:bdr w:val="none" w:sz="0" w:space="0" w:color="auto"/>
          <w:lang w:eastAsia="nl-NL"/>
        </w:rPr>
        <w:t>ir execution</w:t>
      </w:r>
      <w:r w:rsidRPr="003450F1">
        <w:rPr>
          <w:rFonts w:eastAsiaTheme="minorEastAsia"/>
          <w:bdr w:val="none" w:sz="0" w:space="0" w:color="auto"/>
          <w:lang w:eastAsia="nl-NL"/>
        </w:rPr>
        <w:t xml:space="preserve"> </w:t>
      </w:r>
      <w:r w:rsidRPr="003450F1">
        <w:rPr>
          <w:color w:val="000000"/>
          <w:lang w:eastAsia="fr-FR"/>
        </w:rPr>
        <w:t>shall</w:t>
      </w:r>
      <w:r w:rsidRPr="003450F1">
        <w:rPr>
          <w:rFonts w:eastAsiaTheme="minorEastAsia"/>
          <w:bdr w:val="none" w:sz="0" w:space="0" w:color="auto"/>
          <w:lang w:eastAsia="nl-NL"/>
        </w:rPr>
        <w:t xml:space="preserve"> be </w:t>
      </w:r>
      <w:r w:rsidR="009509A0" w:rsidRPr="003450F1">
        <w:rPr>
          <w:rFonts w:eastAsiaTheme="minorEastAsia"/>
          <w:bdr w:val="none" w:sz="0" w:space="0" w:color="auto"/>
          <w:lang w:eastAsia="nl-NL"/>
        </w:rPr>
        <w:t xml:space="preserve">recorded </w:t>
      </w:r>
      <w:r w:rsidRPr="003450F1">
        <w:rPr>
          <w:rFonts w:eastAsiaTheme="minorEastAsia"/>
          <w:bdr w:val="none" w:sz="0" w:space="0" w:color="auto"/>
          <w:lang w:eastAsia="nl-NL"/>
        </w:rPr>
        <w:t xml:space="preserve">in a special register kept </w:t>
      </w:r>
      <w:r w:rsidR="009509A0" w:rsidRPr="003450F1">
        <w:rPr>
          <w:rFonts w:eastAsiaTheme="minorEastAsia"/>
          <w:bdr w:val="none" w:sz="0" w:space="0" w:color="auto"/>
          <w:lang w:eastAsia="nl-NL"/>
        </w:rPr>
        <w:t>by</w:t>
      </w:r>
      <w:r w:rsidRPr="003450F1">
        <w:rPr>
          <w:rFonts w:eastAsiaTheme="minorEastAsia"/>
          <w:bdr w:val="none" w:sz="0" w:space="0" w:color="auto"/>
          <w:lang w:eastAsia="nl-NL"/>
        </w:rPr>
        <w:t xml:space="preserve"> each operator of postal service</w:t>
      </w:r>
      <w:r w:rsidR="009509A0" w:rsidRPr="003450F1">
        <w:rPr>
          <w:rFonts w:eastAsiaTheme="minorEastAsia"/>
          <w:bdr w:val="none" w:sz="0" w:space="0" w:color="auto"/>
          <w:lang w:eastAsia="nl-NL"/>
        </w:rPr>
        <w:t>s</w:t>
      </w:r>
      <w:r w:rsidRPr="003450F1">
        <w:rPr>
          <w:rFonts w:eastAsiaTheme="minorEastAsia"/>
          <w:bdr w:val="none" w:sz="0" w:space="0" w:color="auto"/>
          <w:lang w:eastAsia="nl-NL"/>
        </w:rPr>
        <w:t xml:space="preserve"> and telecommunications. </w:t>
      </w:r>
    </w:p>
    <w:p w14:paraId="76141D01" w14:textId="5284B176" w:rsidR="001A711E" w:rsidRPr="003450F1" w:rsidRDefault="001A711E" w:rsidP="009509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Style w:val="hps"/>
          <w:color w:val="222222"/>
          <w:lang w:val="en"/>
        </w:rPr>
        <w:t xml:space="preserve">The registered telecommunications and the correspondences, as well as the data or information obtained by other technical means of </w:t>
      </w:r>
      <w:r w:rsidR="00072EA1" w:rsidRPr="003450F1">
        <w:rPr>
          <w:rStyle w:val="hps"/>
          <w:color w:val="222222"/>
          <w:lang w:val="en"/>
        </w:rPr>
        <w:t>surveillance</w:t>
      </w:r>
      <w:r w:rsidRPr="003450F1">
        <w:rPr>
          <w:rStyle w:val="hps"/>
          <w:color w:val="222222"/>
          <w:lang w:val="en"/>
        </w:rPr>
        <w:t xml:space="preserve"> and monitoring on the basis of Article 88-1 </w:t>
      </w:r>
      <w:r w:rsidRPr="003450F1">
        <w:rPr>
          <w:color w:val="000000"/>
          <w:lang w:eastAsia="fr-FR"/>
        </w:rPr>
        <w:t>shall</w:t>
      </w:r>
      <w:r w:rsidRPr="003450F1">
        <w:rPr>
          <w:rStyle w:val="hps"/>
          <w:color w:val="222222"/>
          <w:lang w:val="en"/>
        </w:rPr>
        <w:t xml:space="preserve"> be delivered</w:t>
      </w:r>
      <w:r w:rsidRPr="003450F1">
        <w:rPr>
          <w:rStyle w:val="shorttext"/>
          <w:color w:val="222222"/>
          <w:lang w:val="en"/>
        </w:rPr>
        <w:t xml:space="preserve"> </w:t>
      </w:r>
      <w:r w:rsidRPr="003450F1">
        <w:rPr>
          <w:rStyle w:val="hps"/>
          <w:color w:val="222222"/>
          <w:lang w:val="en"/>
        </w:rPr>
        <w:t>sealed and</w:t>
      </w:r>
      <w:r w:rsidRPr="003450F1">
        <w:rPr>
          <w:rStyle w:val="shorttext"/>
          <w:color w:val="222222"/>
          <w:lang w:val="en"/>
        </w:rPr>
        <w:t xml:space="preserve"> </w:t>
      </w:r>
      <w:r w:rsidRPr="003450F1">
        <w:rPr>
          <w:rStyle w:val="hps"/>
          <w:color w:val="222222"/>
          <w:lang w:val="en"/>
        </w:rPr>
        <w:t>upon receipt to the investigating judge, who</w:t>
      </w:r>
      <w:r w:rsidRPr="003450F1">
        <w:rPr>
          <w:rStyle w:val="shorttext"/>
          <w:color w:val="222222"/>
          <w:lang w:val="en"/>
        </w:rPr>
        <w:t xml:space="preserve"> </w:t>
      </w:r>
      <w:r w:rsidR="009509A0" w:rsidRPr="003450F1">
        <w:rPr>
          <w:color w:val="000000"/>
          <w:lang w:eastAsia="fr-FR"/>
        </w:rPr>
        <w:t>will</w:t>
      </w:r>
      <w:r w:rsidRPr="003450F1">
        <w:rPr>
          <w:rStyle w:val="hps"/>
          <w:color w:val="222222"/>
          <w:lang w:val="en"/>
        </w:rPr>
        <w:t xml:space="preserve"> </w:t>
      </w:r>
      <w:r w:rsidR="009509A0" w:rsidRPr="003450F1">
        <w:rPr>
          <w:rStyle w:val="hps"/>
          <w:color w:val="222222"/>
          <w:lang w:val="en"/>
        </w:rPr>
        <w:t xml:space="preserve">draw up a written record of </w:t>
      </w:r>
      <w:r w:rsidRPr="003450F1">
        <w:rPr>
          <w:rStyle w:val="hps"/>
          <w:color w:val="222222"/>
          <w:lang w:val="en"/>
        </w:rPr>
        <w:t>their release</w:t>
      </w:r>
      <w:r w:rsidRPr="003450F1">
        <w:rPr>
          <w:rStyle w:val="shorttext"/>
          <w:color w:val="222222"/>
          <w:lang w:val="en"/>
        </w:rPr>
        <w:t>.</w:t>
      </w:r>
      <w:r w:rsidR="009509A0" w:rsidRPr="003450F1">
        <w:rPr>
          <w:rFonts w:eastAsiaTheme="minorEastAsia"/>
          <w:bdr w:val="none" w:sz="0" w:space="0" w:color="auto"/>
          <w:lang w:eastAsia="nl-NL"/>
        </w:rPr>
        <w:t xml:space="preserve"> H</w:t>
      </w:r>
      <w:r w:rsidR="00CF5097" w:rsidRPr="003450F1">
        <w:rPr>
          <w:rFonts w:eastAsiaTheme="minorEastAsia"/>
          <w:bdr w:val="none" w:sz="0" w:space="0" w:color="auto"/>
          <w:lang w:eastAsia="nl-NL"/>
        </w:rPr>
        <w:t>e shall copy the corresponde</w:t>
      </w:r>
      <w:r w:rsidRPr="003450F1">
        <w:rPr>
          <w:rFonts w:eastAsiaTheme="minorEastAsia"/>
          <w:bdr w:val="none" w:sz="0" w:space="0" w:color="auto"/>
          <w:lang w:eastAsia="nl-NL"/>
        </w:rPr>
        <w:t xml:space="preserve">nces which could </w:t>
      </w:r>
      <w:r w:rsidR="009509A0" w:rsidRPr="003450F1">
        <w:rPr>
          <w:rFonts w:eastAsiaTheme="minorEastAsia"/>
          <w:bdr w:val="none" w:sz="0" w:space="0" w:color="auto"/>
          <w:lang w:eastAsia="nl-NL"/>
        </w:rPr>
        <w:t xml:space="preserve">serve as a basis for a </w:t>
      </w:r>
      <w:r w:rsidRPr="003450F1">
        <w:rPr>
          <w:rFonts w:eastAsiaTheme="minorEastAsia"/>
          <w:bdr w:val="none" w:sz="0" w:space="0" w:color="auto"/>
          <w:lang w:eastAsia="nl-NL"/>
        </w:rPr>
        <w:t xml:space="preserve">conviction or </w:t>
      </w:r>
      <w:r w:rsidR="009509A0" w:rsidRPr="003450F1">
        <w:rPr>
          <w:rFonts w:eastAsiaTheme="minorEastAsia"/>
          <w:bdr w:val="none" w:sz="0" w:space="0" w:color="auto"/>
          <w:lang w:eastAsia="nl-NL"/>
        </w:rPr>
        <w:t xml:space="preserve">a </w:t>
      </w:r>
      <w:r w:rsidRPr="003450F1">
        <w:rPr>
          <w:rFonts w:eastAsiaTheme="minorEastAsia"/>
          <w:bdr w:val="none" w:sz="0" w:space="0" w:color="auto"/>
          <w:lang w:eastAsia="nl-NL"/>
        </w:rPr>
        <w:t xml:space="preserve">discharge and </w:t>
      </w:r>
      <w:r w:rsidRPr="003450F1">
        <w:rPr>
          <w:color w:val="000000"/>
          <w:lang w:eastAsia="fr-FR"/>
        </w:rPr>
        <w:t>shall</w:t>
      </w:r>
      <w:r w:rsidRPr="003450F1">
        <w:rPr>
          <w:rFonts w:eastAsiaTheme="minorEastAsia"/>
          <w:bdr w:val="none" w:sz="0" w:space="0" w:color="auto"/>
          <w:lang w:eastAsia="nl-NL"/>
        </w:rPr>
        <w:t xml:space="preserve"> include the</w:t>
      </w:r>
      <w:r w:rsidR="009509A0" w:rsidRPr="003450F1">
        <w:rPr>
          <w:rFonts w:eastAsiaTheme="minorEastAsia"/>
          <w:bdr w:val="none" w:sz="0" w:space="0" w:color="auto"/>
          <w:lang w:eastAsia="nl-NL"/>
        </w:rPr>
        <w:t>se</w:t>
      </w:r>
      <w:r w:rsidRPr="003450F1">
        <w:rPr>
          <w:rFonts w:eastAsiaTheme="minorEastAsia"/>
          <w:bdr w:val="none" w:sz="0" w:space="0" w:color="auto"/>
          <w:lang w:eastAsia="nl-NL"/>
        </w:rPr>
        <w:t xml:space="preserve"> copies, the </w:t>
      </w:r>
      <w:r w:rsidR="009509A0" w:rsidRPr="003450F1">
        <w:rPr>
          <w:rFonts w:eastAsiaTheme="minorEastAsia"/>
          <w:bdr w:val="none" w:sz="0" w:space="0" w:color="auto"/>
          <w:lang w:eastAsia="nl-NL"/>
        </w:rPr>
        <w:t>recordings</w:t>
      </w:r>
      <w:r w:rsidRPr="003450F1">
        <w:rPr>
          <w:rFonts w:eastAsiaTheme="minorEastAsia"/>
          <w:bdr w:val="none" w:sz="0" w:space="0" w:color="auto"/>
          <w:lang w:eastAsia="nl-NL"/>
        </w:rPr>
        <w:t>, as well as all other da</w:t>
      </w:r>
      <w:r w:rsidR="009509A0" w:rsidRPr="003450F1">
        <w:rPr>
          <w:rFonts w:eastAsiaTheme="minorEastAsia"/>
          <w:bdr w:val="none" w:sz="0" w:space="0" w:color="auto"/>
          <w:lang w:eastAsia="nl-NL"/>
        </w:rPr>
        <w:t>ta and information in the file. H</w:t>
      </w:r>
      <w:r w:rsidR="00460303" w:rsidRPr="003450F1">
        <w:rPr>
          <w:rFonts w:eastAsiaTheme="minorEastAsia"/>
          <w:bdr w:val="none" w:sz="0" w:space="0" w:color="auto"/>
          <w:lang w:eastAsia="nl-NL"/>
        </w:rPr>
        <w:t xml:space="preserve">e </w:t>
      </w:r>
      <w:r w:rsidRPr="003450F1">
        <w:rPr>
          <w:rFonts w:eastAsiaTheme="minorEastAsia"/>
          <w:bdr w:val="none" w:sz="0" w:space="0" w:color="auto"/>
          <w:lang w:eastAsia="nl-NL"/>
        </w:rPr>
        <w:t xml:space="preserve">shall return the </w:t>
      </w:r>
      <w:r w:rsidRPr="003450F1">
        <w:rPr>
          <w:rFonts w:eastAsiaTheme="minorEastAsia"/>
          <w:bdr w:val="none" w:sz="0" w:space="0" w:color="auto"/>
          <w:lang w:eastAsia="nl-NL"/>
        </w:rPr>
        <w:lastRenderedPageBreak/>
        <w:t xml:space="preserve">documents </w:t>
      </w:r>
      <w:r w:rsidR="00A11FB4" w:rsidRPr="003450F1">
        <w:rPr>
          <w:rFonts w:eastAsiaTheme="minorEastAsia"/>
          <w:bdr w:val="none" w:sz="0" w:space="0" w:color="auto"/>
          <w:lang w:eastAsia="nl-NL"/>
        </w:rPr>
        <w:t>which he does not consider</w:t>
      </w:r>
      <w:r w:rsidRPr="003450F1">
        <w:rPr>
          <w:rFonts w:eastAsiaTheme="minorEastAsia"/>
          <w:bdr w:val="none" w:sz="0" w:space="0" w:color="auto"/>
          <w:lang w:eastAsia="nl-NL"/>
        </w:rPr>
        <w:t xml:space="preserve"> necessary </w:t>
      </w:r>
      <w:r w:rsidR="00A11FB4" w:rsidRPr="003450F1">
        <w:rPr>
          <w:rFonts w:eastAsiaTheme="minorEastAsia"/>
          <w:bdr w:val="none" w:sz="0" w:space="0" w:color="auto"/>
          <w:lang w:eastAsia="nl-NL"/>
        </w:rPr>
        <w:t xml:space="preserve">to seize, </w:t>
      </w:r>
      <w:r w:rsidRPr="003450F1">
        <w:rPr>
          <w:rFonts w:eastAsiaTheme="minorEastAsia"/>
          <w:bdr w:val="none" w:sz="0" w:space="0" w:color="auto"/>
          <w:lang w:eastAsia="nl-NL"/>
        </w:rPr>
        <w:t xml:space="preserve">to the operators of the </w:t>
      </w:r>
      <w:r w:rsidR="00A11FB4" w:rsidRPr="003450F1">
        <w:rPr>
          <w:rFonts w:eastAsiaTheme="minorEastAsia"/>
          <w:bdr w:val="none" w:sz="0" w:space="0" w:color="auto"/>
          <w:lang w:eastAsia="nl-NL"/>
        </w:rPr>
        <w:t>postal services, which</w:t>
      </w:r>
      <w:r w:rsidRPr="003450F1">
        <w:rPr>
          <w:rFonts w:eastAsiaTheme="minorEastAsia"/>
          <w:bdr w:val="none" w:sz="0" w:space="0" w:color="auto"/>
          <w:lang w:eastAsia="nl-NL"/>
        </w:rPr>
        <w:t xml:space="preserve"> </w:t>
      </w:r>
      <w:r w:rsidR="00A11FB4" w:rsidRPr="003450F1">
        <w:rPr>
          <w:color w:val="000000"/>
          <w:lang w:eastAsia="fr-FR"/>
        </w:rPr>
        <w:t>will</w:t>
      </w:r>
      <w:r w:rsidR="00311803" w:rsidRPr="003450F1">
        <w:rPr>
          <w:rFonts w:eastAsiaTheme="minorEastAsia"/>
          <w:bdr w:val="none" w:sz="0" w:space="0" w:color="auto"/>
          <w:lang w:eastAsia="nl-NL"/>
        </w:rPr>
        <w:t xml:space="preserve"> send them without</w:t>
      </w:r>
      <w:r w:rsidRPr="003450F1">
        <w:rPr>
          <w:rFonts w:eastAsiaTheme="minorEastAsia"/>
          <w:bdr w:val="none" w:sz="0" w:space="0" w:color="auto"/>
          <w:lang w:eastAsia="nl-NL"/>
        </w:rPr>
        <w:t xml:space="preserve"> delay to the </w:t>
      </w:r>
      <w:r w:rsidR="00A11FB4" w:rsidRPr="003450F1">
        <w:rPr>
          <w:rFonts w:eastAsiaTheme="minorEastAsia"/>
          <w:bdr w:val="none" w:sz="0" w:space="0" w:color="auto"/>
          <w:lang w:eastAsia="nl-NL"/>
        </w:rPr>
        <w:t>addressee</w:t>
      </w:r>
      <w:r w:rsidRPr="003450F1">
        <w:rPr>
          <w:rFonts w:eastAsiaTheme="minorEastAsia"/>
          <w:bdr w:val="none" w:sz="0" w:space="0" w:color="auto"/>
          <w:lang w:eastAsia="nl-NL"/>
        </w:rPr>
        <w:t>.</w:t>
      </w:r>
    </w:p>
    <w:p w14:paraId="7CA9A85E" w14:textId="3475099A"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 xml:space="preserve">When the measures of </w:t>
      </w:r>
      <w:r w:rsidR="00072EA1" w:rsidRPr="003450F1">
        <w:rPr>
          <w:rFonts w:eastAsiaTheme="minorEastAsia"/>
          <w:bdr w:val="none" w:sz="0" w:space="0" w:color="auto"/>
          <w:lang w:eastAsia="nl-NL"/>
        </w:rPr>
        <w:t>surveillance</w:t>
      </w:r>
      <w:r w:rsidRPr="003450F1">
        <w:rPr>
          <w:rFonts w:eastAsiaTheme="minorEastAsia"/>
          <w:bdr w:val="none" w:sz="0" w:space="0" w:color="auto"/>
          <w:lang w:eastAsia="nl-NL"/>
        </w:rPr>
        <w:t xml:space="preserve"> and monitoring of communic</w:t>
      </w:r>
      <w:r w:rsidR="00A11FB4" w:rsidRPr="003450F1">
        <w:rPr>
          <w:rFonts w:eastAsiaTheme="minorEastAsia"/>
          <w:bdr w:val="none" w:sz="0" w:space="0" w:color="auto"/>
          <w:lang w:eastAsia="nl-NL"/>
        </w:rPr>
        <w:t>ations ordered on the basis of A</w:t>
      </w:r>
      <w:r w:rsidRPr="003450F1">
        <w:rPr>
          <w:rFonts w:eastAsiaTheme="minorEastAsia"/>
          <w:bdr w:val="none" w:sz="0" w:space="0" w:color="auto"/>
          <w:lang w:eastAsia="nl-NL"/>
        </w:rPr>
        <w:t xml:space="preserve">rticle 88-1 do not yield any outcome, the copies and the </w:t>
      </w:r>
      <w:r w:rsidR="00A11FB4" w:rsidRPr="003450F1">
        <w:rPr>
          <w:rFonts w:eastAsiaTheme="minorEastAsia"/>
          <w:bdr w:val="none" w:sz="0" w:space="0" w:color="auto"/>
          <w:lang w:eastAsia="nl-NL"/>
        </w:rPr>
        <w:t>recordings</w:t>
      </w:r>
      <w:r w:rsidRPr="003450F1">
        <w:rPr>
          <w:rFonts w:eastAsiaTheme="minorEastAsia"/>
          <w:bdr w:val="none" w:sz="0" w:space="0" w:color="auto"/>
          <w:lang w:eastAsia="nl-NL"/>
        </w:rPr>
        <w:t xml:space="preserve">, as well as all other data and information included in the file, shall be destroyed by the investigating judge </w:t>
      </w:r>
      <w:r w:rsidR="00A11FB4" w:rsidRPr="003450F1">
        <w:rPr>
          <w:rFonts w:eastAsiaTheme="minorEastAsia"/>
          <w:bdr w:val="none" w:sz="0" w:space="0" w:color="auto"/>
          <w:lang w:eastAsia="nl-NL"/>
        </w:rPr>
        <w:t xml:space="preserve">at the latest </w:t>
      </w:r>
      <w:r w:rsidRPr="003450F1">
        <w:rPr>
          <w:rFonts w:eastAsiaTheme="minorEastAsia"/>
          <w:bdr w:val="none" w:sz="0" w:space="0" w:color="auto"/>
          <w:lang w:eastAsia="nl-NL"/>
        </w:rPr>
        <w:t xml:space="preserve">twelve months after the order </w:t>
      </w:r>
      <w:r w:rsidR="00A11FB4" w:rsidRPr="003450F1">
        <w:rPr>
          <w:rFonts w:eastAsiaTheme="minorEastAsia"/>
          <w:bdr w:val="none" w:sz="0" w:space="0" w:color="auto"/>
          <w:lang w:eastAsia="nl-NL"/>
        </w:rPr>
        <w:t xml:space="preserve">to put an end to </w:t>
      </w:r>
      <w:r w:rsidRPr="003450F1">
        <w:rPr>
          <w:rFonts w:eastAsiaTheme="minorEastAsia"/>
          <w:bdr w:val="none" w:sz="0" w:space="0" w:color="auto"/>
          <w:lang w:eastAsia="nl-NL"/>
        </w:rPr>
        <w:t xml:space="preserve">the </w:t>
      </w:r>
      <w:r w:rsidR="00072EA1" w:rsidRPr="003450F1">
        <w:rPr>
          <w:rFonts w:eastAsiaTheme="minorEastAsia"/>
          <w:bdr w:val="none" w:sz="0" w:space="0" w:color="auto"/>
          <w:lang w:eastAsia="nl-NL"/>
        </w:rPr>
        <w:t>surveillance</w:t>
      </w:r>
      <w:r w:rsidR="00460303" w:rsidRPr="003450F1">
        <w:rPr>
          <w:rFonts w:eastAsiaTheme="minorEastAsia"/>
          <w:bdr w:val="none" w:sz="0" w:space="0" w:color="auto"/>
          <w:lang w:eastAsia="nl-NL"/>
        </w:rPr>
        <w:t xml:space="preserve"> measures. (…)</w:t>
      </w:r>
      <w:r w:rsidR="00017ADA" w:rsidRPr="003450F1">
        <w:rPr>
          <w:rFonts w:eastAsiaTheme="minorEastAsia"/>
          <w:bdr w:val="none" w:sz="0" w:space="0" w:color="auto"/>
          <w:lang w:eastAsia="nl-NL"/>
        </w:rPr>
        <w:t>’</w:t>
      </w:r>
    </w:p>
    <w:p w14:paraId="13AD2BD7" w14:textId="05CEAD2D"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eastAsiaTheme="minorEastAsia"/>
          <w:bdr w:val="none" w:sz="0" w:space="0" w:color="auto"/>
          <w:lang w:eastAsia="nl-NL"/>
        </w:rPr>
      </w:pPr>
      <w:r w:rsidRPr="003450F1">
        <w:rPr>
          <w:rFonts w:eastAsiaTheme="minorEastAsia"/>
          <w:bCs/>
          <w:bdr w:val="none" w:sz="0" w:space="0" w:color="auto"/>
          <w:lang w:eastAsia="nl-NL"/>
        </w:rPr>
        <w:t xml:space="preserve">With respect to criminal offences against </w:t>
      </w:r>
      <w:r w:rsidR="00A11FB4" w:rsidRPr="003450F1">
        <w:rPr>
          <w:rFonts w:eastAsiaTheme="minorEastAsia"/>
          <w:bCs/>
          <w:bdr w:val="none" w:sz="0" w:space="0" w:color="auto"/>
          <w:lang w:eastAsia="nl-NL"/>
        </w:rPr>
        <w:t xml:space="preserve">external security of </w:t>
      </w:r>
      <w:r w:rsidRPr="003450F1">
        <w:rPr>
          <w:rFonts w:eastAsiaTheme="minorEastAsia"/>
          <w:bCs/>
          <w:bdr w:val="none" w:sz="0" w:space="0" w:color="auto"/>
          <w:lang w:eastAsia="nl-NL"/>
        </w:rPr>
        <w:t>the Luxembou</w:t>
      </w:r>
      <w:r w:rsidR="00A11FB4" w:rsidRPr="003450F1">
        <w:rPr>
          <w:rFonts w:eastAsiaTheme="minorEastAsia"/>
          <w:bCs/>
          <w:bdr w:val="none" w:sz="0" w:space="0" w:color="auto"/>
          <w:lang w:eastAsia="nl-NL"/>
        </w:rPr>
        <w:t>rgish State, Article 88-3, paragraph</w:t>
      </w:r>
      <w:r w:rsidRPr="003450F1">
        <w:rPr>
          <w:rFonts w:eastAsiaTheme="minorEastAsia"/>
          <w:bCs/>
          <w:bdr w:val="none" w:sz="0" w:space="0" w:color="auto"/>
          <w:lang w:eastAsia="nl-NL"/>
        </w:rPr>
        <w:t xml:space="preserve"> 1 </w:t>
      </w:r>
      <w:r w:rsidR="00A11FB4" w:rsidRPr="003450F1">
        <w:rPr>
          <w:rFonts w:eastAsiaTheme="minorEastAsia"/>
          <w:bCs/>
          <w:bdr w:val="none" w:sz="0" w:space="0" w:color="auto"/>
          <w:lang w:eastAsia="nl-NL"/>
        </w:rPr>
        <w:t xml:space="preserve">of the Code of Criminal Procedure </w:t>
      </w:r>
      <w:r w:rsidRPr="003450F1">
        <w:rPr>
          <w:rFonts w:eastAsiaTheme="minorEastAsia"/>
          <w:bCs/>
          <w:bdr w:val="none" w:sz="0" w:space="0" w:color="auto"/>
          <w:lang w:eastAsia="nl-NL"/>
        </w:rPr>
        <w:t>states:</w:t>
      </w:r>
      <w:r w:rsidRPr="003450F1">
        <w:rPr>
          <w:rFonts w:eastAsiaTheme="minorEastAsia"/>
          <w:bdr w:val="none" w:sz="0" w:space="0" w:color="auto"/>
          <w:lang w:eastAsia="nl-NL"/>
        </w:rPr>
        <w:t xml:space="preserve"> </w:t>
      </w:r>
    </w:p>
    <w:p w14:paraId="75779D29" w14:textId="65D1922F"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w:t>
      </w:r>
      <w:r w:rsidR="001A711E" w:rsidRPr="003450F1">
        <w:rPr>
          <w:rFonts w:eastAsiaTheme="minorEastAsia"/>
          <w:bdr w:val="none" w:sz="0" w:space="0" w:color="auto"/>
          <w:lang w:eastAsia="nl-NL"/>
        </w:rPr>
        <w:t xml:space="preserve">The President of the Government can, with the consent of a commission composed of the President of the Supreme Court, the President of the Administrative Court and the President of the District Court of Luxembourg, order the </w:t>
      </w:r>
      <w:r w:rsidR="00072EA1" w:rsidRPr="003450F1">
        <w:rPr>
          <w:rFonts w:eastAsiaTheme="minorEastAsia"/>
          <w:bdr w:val="none" w:sz="0" w:space="0" w:color="auto"/>
          <w:lang w:eastAsia="nl-NL"/>
        </w:rPr>
        <w:t>surveillance</w:t>
      </w:r>
      <w:r w:rsidR="001A711E" w:rsidRPr="003450F1">
        <w:rPr>
          <w:rFonts w:eastAsiaTheme="minorEastAsia"/>
          <w:bdr w:val="none" w:sz="0" w:space="0" w:color="auto"/>
          <w:lang w:eastAsia="nl-NL"/>
        </w:rPr>
        <w:t xml:space="preserve"> and </w:t>
      </w:r>
      <w:r w:rsidR="00A11FB4" w:rsidRPr="003450F1">
        <w:rPr>
          <w:rFonts w:eastAsiaTheme="minorEastAsia"/>
          <w:bdr w:val="none" w:sz="0" w:space="0" w:color="auto"/>
          <w:lang w:eastAsia="nl-NL"/>
        </w:rPr>
        <w:t xml:space="preserve">the </w:t>
      </w:r>
      <w:r w:rsidR="001A711E" w:rsidRPr="003450F1">
        <w:rPr>
          <w:rFonts w:eastAsiaTheme="minorEastAsia"/>
          <w:bdr w:val="none" w:sz="0" w:space="0" w:color="auto"/>
          <w:lang w:eastAsia="nl-NL"/>
        </w:rPr>
        <w:t xml:space="preserve">monitoring, using the appropriate technical means, of </w:t>
      </w:r>
      <w:r w:rsidR="001A711E" w:rsidRPr="003450F1">
        <w:rPr>
          <w:rFonts w:eastAsiaTheme="minorEastAsia"/>
          <w:i/>
          <w:bdr w:val="none" w:sz="0" w:space="0" w:color="auto"/>
          <w:lang w:eastAsia="nl-NL"/>
        </w:rPr>
        <w:t>all forms of communication</w:t>
      </w:r>
      <w:r w:rsidR="001A711E" w:rsidRPr="003450F1">
        <w:rPr>
          <w:rFonts w:eastAsiaTheme="minorEastAsia"/>
          <w:bdr w:val="none" w:sz="0" w:space="0" w:color="auto"/>
          <w:lang w:eastAsia="nl-NL"/>
        </w:rPr>
        <w:t xml:space="preserve"> for the purpose of investigating the </w:t>
      </w:r>
      <w:r w:rsidR="00A11FB4" w:rsidRPr="003450F1">
        <w:rPr>
          <w:rFonts w:eastAsiaTheme="minorEastAsia"/>
          <w:bdr w:val="none" w:sz="0" w:space="0" w:color="auto"/>
          <w:lang w:eastAsia="nl-NL"/>
        </w:rPr>
        <w:t>offences</w:t>
      </w:r>
      <w:r w:rsidR="001A711E" w:rsidRPr="003450F1">
        <w:rPr>
          <w:rFonts w:eastAsiaTheme="minorEastAsia"/>
          <w:bdr w:val="none" w:sz="0" w:space="0" w:color="auto"/>
          <w:lang w:eastAsia="nl-NL"/>
        </w:rPr>
        <w:t xml:space="preserve"> against the external security of the State which one or more authors </w:t>
      </w:r>
      <w:r w:rsidR="00A11FB4" w:rsidRPr="003450F1">
        <w:rPr>
          <w:rFonts w:eastAsiaTheme="minorEastAsia"/>
          <w:bdr w:val="none" w:sz="0" w:space="0" w:color="auto"/>
          <w:lang w:eastAsia="nl-NL"/>
        </w:rPr>
        <w:t xml:space="preserve">are </w:t>
      </w:r>
      <w:r w:rsidR="001A711E" w:rsidRPr="003450F1">
        <w:rPr>
          <w:rFonts w:eastAsiaTheme="minorEastAsia"/>
          <w:bdr w:val="none" w:sz="0" w:space="0" w:color="auto"/>
          <w:lang w:eastAsia="nl-NL"/>
        </w:rPr>
        <w:t>attempt</w:t>
      </w:r>
      <w:r w:rsidR="00A11FB4" w:rsidRPr="003450F1">
        <w:rPr>
          <w:rFonts w:eastAsiaTheme="minorEastAsia"/>
          <w:bdr w:val="none" w:sz="0" w:space="0" w:color="auto"/>
          <w:lang w:eastAsia="nl-NL"/>
        </w:rPr>
        <w:t>ing</w:t>
      </w:r>
      <w:r w:rsidR="001A711E" w:rsidRPr="003450F1">
        <w:rPr>
          <w:rFonts w:eastAsiaTheme="minorEastAsia"/>
          <w:bdr w:val="none" w:sz="0" w:space="0" w:color="auto"/>
          <w:lang w:eastAsia="nl-NL"/>
        </w:rPr>
        <w:t xml:space="preserve"> to commit, or have committed, or </w:t>
      </w:r>
      <w:r w:rsidR="00A11FB4" w:rsidRPr="003450F1">
        <w:rPr>
          <w:rFonts w:eastAsiaTheme="minorEastAsia"/>
          <w:bdr w:val="none" w:sz="0" w:space="0" w:color="auto"/>
          <w:lang w:eastAsia="nl-NL"/>
        </w:rPr>
        <w:t xml:space="preserve">have </w:t>
      </w:r>
      <w:r w:rsidR="001A711E" w:rsidRPr="003450F1">
        <w:rPr>
          <w:rFonts w:eastAsiaTheme="minorEastAsia"/>
          <w:bdr w:val="none" w:sz="0" w:space="0" w:color="auto"/>
          <w:lang w:eastAsia="nl-NL"/>
        </w:rPr>
        <w:t>attempted to commi</w:t>
      </w:r>
      <w:r w:rsidR="00A11FB4" w:rsidRPr="003450F1">
        <w:rPr>
          <w:rFonts w:eastAsiaTheme="minorEastAsia"/>
          <w:bdr w:val="none" w:sz="0" w:space="0" w:color="auto"/>
          <w:lang w:eastAsia="nl-NL"/>
        </w:rPr>
        <w:t>t, if ordinary investigative</w:t>
      </w:r>
      <w:r w:rsidR="001A711E" w:rsidRPr="003450F1">
        <w:rPr>
          <w:rFonts w:eastAsiaTheme="minorEastAsia"/>
          <w:bdr w:val="none" w:sz="0" w:space="0" w:color="auto"/>
          <w:lang w:eastAsia="nl-NL"/>
        </w:rPr>
        <w:t xml:space="preserve"> measures prove </w:t>
      </w:r>
      <w:r w:rsidR="00A11FB4" w:rsidRPr="003450F1">
        <w:rPr>
          <w:rFonts w:eastAsiaTheme="minorEastAsia"/>
          <w:bdr w:val="none" w:sz="0" w:space="0" w:color="auto"/>
          <w:lang w:eastAsia="nl-NL"/>
        </w:rPr>
        <w:t xml:space="preserve">to be </w:t>
      </w:r>
      <w:r w:rsidR="001A711E" w:rsidRPr="003450F1">
        <w:rPr>
          <w:rFonts w:eastAsiaTheme="minorEastAsia"/>
          <w:bdr w:val="none" w:sz="0" w:space="0" w:color="auto"/>
          <w:lang w:eastAsia="nl-NL"/>
        </w:rPr>
        <w:t>ineffective due to the nature of the facts and special circumstances</w:t>
      </w:r>
      <w:r w:rsidR="00A11FB4" w:rsidRPr="003450F1">
        <w:rPr>
          <w:rFonts w:eastAsiaTheme="minorEastAsia"/>
          <w:bdr w:val="none" w:sz="0" w:space="0" w:color="auto"/>
          <w:lang w:eastAsia="nl-NL"/>
        </w:rPr>
        <w:t xml:space="preserve"> of the case</w:t>
      </w:r>
      <w:r w:rsidR="001A711E" w:rsidRPr="003450F1">
        <w:rPr>
          <w:rFonts w:eastAsiaTheme="minorEastAsia"/>
          <w:bdr w:val="none" w:sz="0" w:space="0" w:color="auto"/>
          <w:lang w:eastAsia="nl-NL"/>
        </w:rPr>
        <w:t>.</w:t>
      </w:r>
      <w:r w:rsidRPr="003450F1">
        <w:rPr>
          <w:rFonts w:eastAsiaTheme="minorEastAsia"/>
          <w:bdr w:val="none" w:sz="0" w:space="0" w:color="auto"/>
          <w:lang w:eastAsia="nl-NL"/>
        </w:rPr>
        <w:t>’</w:t>
      </w:r>
      <w:r w:rsidR="00A11FB4" w:rsidRPr="003450F1">
        <w:rPr>
          <w:rStyle w:val="Odwoanieprzypisudolnego"/>
          <w:rFonts w:eastAsiaTheme="minorEastAsia"/>
          <w:bdr w:val="none" w:sz="0" w:space="0" w:color="auto"/>
          <w:lang w:eastAsia="nl-NL"/>
        </w:rPr>
        <w:footnoteReference w:id="79"/>
      </w:r>
    </w:p>
    <w:p w14:paraId="08D527BB" w14:textId="29FCF76A"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More detailed regulations concerning the interception of content data can be found in</w:t>
      </w:r>
      <w:r w:rsidR="00EE46F9" w:rsidRPr="003450F1">
        <w:rPr>
          <w:rFonts w:ascii="Times New Roman" w:hAnsi="Times New Roman" w:cs="Times New Roman"/>
          <w:sz w:val="24"/>
          <w:szCs w:val="24"/>
          <w:lang w:val="en-US"/>
        </w:rPr>
        <w:t xml:space="preserve"> the</w:t>
      </w:r>
      <w:r w:rsidRPr="003450F1">
        <w:rPr>
          <w:rFonts w:ascii="Times New Roman" w:hAnsi="Times New Roman" w:cs="Times New Roman"/>
          <w:sz w:val="24"/>
          <w:szCs w:val="24"/>
          <w:lang w:val="en-US"/>
        </w:rPr>
        <w:t xml:space="preserve"> Regulation of 1 December 2008</w:t>
      </w:r>
      <w:r w:rsidR="00EE46F9" w:rsidRPr="003450F1">
        <w:rPr>
          <w:rFonts w:ascii="Times New Roman" w:hAnsi="Times New Roman" w:cs="Times New Roman"/>
          <w:sz w:val="24"/>
          <w:szCs w:val="24"/>
          <w:lang w:val="en-US"/>
        </w:rPr>
        <w:t xml:space="preserve"> (</w:t>
      </w:r>
      <w:r w:rsidR="00EE46F9" w:rsidRPr="003450F1">
        <w:rPr>
          <w:rFonts w:ascii="Times New Roman" w:hAnsi="Times New Roman" w:cs="Times New Roman"/>
          <w:i/>
          <w:sz w:val="24"/>
          <w:szCs w:val="24"/>
          <w:lang w:val="en-US"/>
        </w:rPr>
        <w:t>supra</w:t>
      </w:r>
      <w:r w:rsidR="00EE46F9" w:rsidRPr="003450F1">
        <w:rPr>
          <w:rFonts w:ascii="Times New Roman" w:hAnsi="Times New Roman" w:cs="Times New Roman"/>
          <w:sz w:val="24"/>
          <w:szCs w:val="24"/>
          <w:lang w:val="en-US"/>
        </w:rPr>
        <w:t>, sub question 5)</w:t>
      </w:r>
      <w:r w:rsidRPr="003450F1">
        <w:rPr>
          <w:rFonts w:ascii="Times New Roman" w:hAnsi="Times New Roman" w:cs="Times New Roman"/>
          <w:sz w:val="24"/>
          <w:szCs w:val="24"/>
          <w:lang w:val="en-US"/>
        </w:rPr>
        <w:t>, in particular in Articles 4-6.</w:t>
      </w:r>
    </w:p>
    <w:p w14:paraId="6DE99F20" w14:textId="77777777" w:rsidR="00FF59FC" w:rsidRPr="003450F1" w:rsidRDefault="00FF59FC" w:rsidP="001A711E">
      <w:pPr>
        <w:pStyle w:val="Hoofdtekst"/>
        <w:spacing w:after="120"/>
        <w:jc w:val="both"/>
        <w:rPr>
          <w:rFonts w:ascii="Times New Roman" w:hAnsi="Times New Roman" w:cs="Times New Roman"/>
          <w:sz w:val="24"/>
          <w:szCs w:val="24"/>
          <w:lang w:val="en-US"/>
        </w:rPr>
      </w:pPr>
    </w:p>
    <w:p w14:paraId="7461F1E5" w14:textId="4F8970CC"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As regards the seizure of </w:t>
      </w:r>
      <w:r w:rsidRPr="003450F1">
        <w:rPr>
          <w:rFonts w:ascii="Times New Roman" w:hAnsi="Times New Roman" w:cs="Times New Roman"/>
          <w:i/>
          <w:sz w:val="24"/>
          <w:szCs w:val="24"/>
          <w:lang w:val="en-US"/>
        </w:rPr>
        <w:t>stored content data</w:t>
      </w:r>
      <w:r w:rsidRPr="003450F1">
        <w:rPr>
          <w:rFonts w:ascii="Times New Roman" w:hAnsi="Times New Roman" w:cs="Times New Roman"/>
          <w:sz w:val="24"/>
          <w:szCs w:val="24"/>
          <w:lang w:val="en-US"/>
        </w:rPr>
        <w:t>, the existing provisions of the Code of Criminal Procedure were amended last summer, in light of the Budapest Convention. The Luxembourgish law now explicitly encompasses the possibility of seizing all kinds of electronic data.</w:t>
      </w:r>
      <w:r w:rsidRPr="003450F1">
        <w:rPr>
          <w:rStyle w:val="Odwoanieprzypisudolnego"/>
          <w:rFonts w:ascii="Times New Roman" w:hAnsi="Times New Roman" w:cs="Times New Roman"/>
          <w:sz w:val="24"/>
          <w:szCs w:val="24"/>
          <w:lang w:val="en-US"/>
        </w:rPr>
        <w:footnoteReference w:id="80"/>
      </w:r>
      <w:r w:rsidRPr="003450F1">
        <w:rPr>
          <w:rFonts w:ascii="Times New Roman" w:hAnsi="Times New Roman" w:cs="Times New Roman"/>
          <w:sz w:val="24"/>
          <w:szCs w:val="24"/>
          <w:lang w:val="en-US"/>
        </w:rPr>
        <w:t xml:space="preserve"> Considering</w:t>
      </w:r>
      <w:r w:rsidR="00FF59FC" w:rsidRPr="003450F1">
        <w:rPr>
          <w:rFonts w:ascii="Times New Roman" w:hAnsi="Times New Roman" w:cs="Times New Roman"/>
          <w:sz w:val="24"/>
          <w:szCs w:val="24"/>
          <w:lang w:val="en-US"/>
        </w:rPr>
        <w:t xml:space="preserve"> however</w:t>
      </w:r>
      <w:r w:rsidRPr="003450F1">
        <w:rPr>
          <w:rFonts w:ascii="Times New Roman" w:hAnsi="Times New Roman" w:cs="Times New Roman"/>
          <w:sz w:val="24"/>
          <w:szCs w:val="24"/>
          <w:lang w:val="en-US"/>
        </w:rPr>
        <w:t xml:space="preserve"> that such data are volatile, a seizure will usual</w:t>
      </w:r>
      <w:r w:rsidR="000A6060" w:rsidRPr="003450F1">
        <w:rPr>
          <w:rFonts w:ascii="Times New Roman" w:hAnsi="Times New Roman" w:cs="Times New Roman"/>
          <w:sz w:val="24"/>
          <w:szCs w:val="24"/>
          <w:lang w:val="en-US"/>
        </w:rPr>
        <w:t>ly be preceded by a freezing of data</w:t>
      </w:r>
      <w:r w:rsidRPr="003450F1">
        <w:rPr>
          <w:rFonts w:ascii="Times New Roman" w:hAnsi="Times New Roman" w:cs="Times New Roman"/>
          <w:sz w:val="24"/>
          <w:szCs w:val="24"/>
          <w:lang w:val="en-US"/>
        </w:rPr>
        <w:t>,</w:t>
      </w:r>
      <w:r w:rsidRPr="003450F1">
        <w:rPr>
          <w:rStyle w:val="Odwoanieprzypisudolnego"/>
          <w:rFonts w:ascii="Times New Roman" w:hAnsi="Times New Roman" w:cs="Times New Roman"/>
          <w:sz w:val="24"/>
          <w:szCs w:val="24"/>
          <w:lang w:val="en-US"/>
        </w:rPr>
        <w:footnoteReference w:id="81"/>
      </w:r>
      <w:r w:rsidRPr="003450F1">
        <w:rPr>
          <w:rFonts w:ascii="Times New Roman" w:hAnsi="Times New Roman" w:cs="Times New Roman"/>
          <w:sz w:val="24"/>
          <w:szCs w:val="24"/>
          <w:lang w:val="en-US"/>
        </w:rPr>
        <w:t xml:space="preserve"> in accordance with Article 48-25 Code of Criminal Procedure (</w:t>
      </w:r>
      <w:r w:rsidRPr="003450F1">
        <w:rPr>
          <w:rFonts w:ascii="Times New Roman" w:hAnsi="Times New Roman" w:cs="Times New Roman"/>
          <w:i/>
          <w:sz w:val="24"/>
          <w:szCs w:val="24"/>
          <w:lang w:val="en-US"/>
        </w:rPr>
        <w:t>supra</w:t>
      </w:r>
      <w:r w:rsidRPr="003450F1">
        <w:rPr>
          <w:rFonts w:ascii="Times New Roman" w:hAnsi="Times New Roman" w:cs="Times New Roman"/>
          <w:sz w:val="24"/>
          <w:szCs w:val="24"/>
          <w:lang w:val="en-US"/>
        </w:rPr>
        <w:t>, traffic data).</w:t>
      </w:r>
    </w:p>
    <w:p w14:paraId="6C89CA89" w14:textId="41081D3E"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Seizure of content data can be done </w:t>
      </w:r>
      <w:r w:rsidR="00FF59FC" w:rsidRPr="003450F1">
        <w:rPr>
          <w:rFonts w:ascii="Times New Roman" w:hAnsi="Times New Roman" w:cs="Times New Roman"/>
          <w:sz w:val="24"/>
          <w:szCs w:val="24"/>
          <w:lang w:val="en-US"/>
        </w:rPr>
        <w:t xml:space="preserve">either </w:t>
      </w:r>
      <w:r w:rsidRPr="003450F1">
        <w:rPr>
          <w:rFonts w:ascii="Times New Roman" w:hAnsi="Times New Roman" w:cs="Times New Roman"/>
          <w:sz w:val="24"/>
          <w:szCs w:val="24"/>
          <w:lang w:val="en-US"/>
        </w:rPr>
        <w:t xml:space="preserve">by the </w:t>
      </w:r>
      <w:r w:rsidRPr="003450F1">
        <w:rPr>
          <w:rFonts w:ascii="Times New Roman" w:hAnsi="Times New Roman" w:cs="Times New Roman"/>
          <w:i/>
          <w:sz w:val="24"/>
          <w:szCs w:val="24"/>
          <w:lang w:val="en-US"/>
        </w:rPr>
        <w:t>judicial police</w:t>
      </w:r>
      <w:r w:rsidRPr="003450F1">
        <w:rPr>
          <w:rFonts w:ascii="Times New Roman" w:hAnsi="Times New Roman" w:cs="Times New Roman"/>
          <w:sz w:val="24"/>
          <w:szCs w:val="24"/>
          <w:lang w:val="en-US"/>
        </w:rPr>
        <w:t xml:space="preserve">, informing the public prosecutor, when the offender is caught </w:t>
      </w:r>
      <w:r w:rsidR="00FF59FC" w:rsidRPr="003450F1">
        <w:rPr>
          <w:rFonts w:ascii="Times New Roman" w:hAnsi="Times New Roman" w:cs="Times New Roman"/>
          <w:sz w:val="24"/>
          <w:szCs w:val="24"/>
          <w:lang w:val="en-US"/>
        </w:rPr>
        <w:t>in the act</w:t>
      </w:r>
      <w:r w:rsidRPr="003450F1">
        <w:rPr>
          <w:rFonts w:ascii="Times New Roman" w:hAnsi="Times New Roman" w:cs="Times New Roman"/>
          <w:sz w:val="24"/>
          <w:szCs w:val="24"/>
          <w:lang w:val="en-US"/>
        </w:rPr>
        <w:t xml:space="preserve">, or by the </w:t>
      </w:r>
      <w:r w:rsidRPr="003450F1">
        <w:rPr>
          <w:rFonts w:ascii="Times New Roman" w:hAnsi="Times New Roman" w:cs="Times New Roman"/>
          <w:i/>
          <w:sz w:val="24"/>
          <w:szCs w:val="24"/>
          <w:lang w:val="en-US"/>
        </w:rPr>
        <w:t>investigating judge</w:t>
      </w:r>
      <w:r w:rsidRPr="003450F1">
        <w:rPr>
          <w:rFonts w:ascii="Times New Roman" w:hAnsi="Times New Roman" w:cs="Times New Roman"/>
          <w:sz w:val="24"/>
          <w:szCs w:val="24"/>
          <w:lang w:val="en-US"/>
        </w:rPr>
        <w:t xml:space="preserve"> (</w:t>
      </w:r>
      <w:r w:rsidRPr="003450F1">
        <w:rPr>
          <w:rFonts w:ascii="Times New Roman" w:hAnsi="Times New Roman" w:cs="Times New Roman"/>
          <w:i/>
          <w:sz w:val="24"/>
          <w:szCs w:val="24"/>
          <w:lang w:val="en-US"/>
        </w:rPr>
        <w:t>infra</w:t>
      </w:r>
      <w:r w:rsidRPr="003450F1">
        <w:rPr>
          <w:rFonts w:ascii="Times New Roman" w:hAnsi="Times New Roman" w:cs="Times New Roman"/>
          <w:sz w:val="24"/>
          <w:szCs w:val="24"/>
          <w:lang w:val="en-US"/>
        </w:rPr>
        <w:t>).</w:t>
      </w:r>
    </w:p>
    <w:p w14:paraId="7D2BDCC8" w14:textId="3B4210F1"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The first hypothesis</w:t>
      </w:r>
      <w:r w:rsidR="00FF59FC" w:rsidRPr="003450F1">
        <w:t xml:space="preserve">, in which the </w:t>
      </w:r>
      <w:r w:rsidR="00FF59FC" w:rsidRPr="003450F1">
        <w:rPr>
          <w:i/>
        </w:rPr>
        <w:t>judicial police</w:t>
      </w:r>
      <w:r w:rsidRPr="003450F1">
        <w:t xml:space="preserve"> </w:t>
      </w:r>
      <w:r w:rsidR="00FF59FC" w:rsidRPr="003450F1">
        <w:t xml:space="preserve">seize the data, </w:t>
      </w:r>
      <w:r w:rsidRPr="003450F1">
        <w:t>is regulated by Article 31 of the Code of Criminal Procedure, stating:</w:t>
      </w:r>
    </w:p>
    <w:p w14:paraId="16C1DDF8" w14:textId="2AFCE12B"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w:t>
      </w:r>
      <w:r w:rsidR="001A711E" w:rsidRPr="003450F1">
        <w:rPr>
          <w:rFonts w:eastAsiaTheme="minorEastAsia"/>
          <w:bdr w:val="none" w:sz="0" w:space="0" w:color="auto"/>
          <w:lang w:eastAsia="nl-NL"/>
        </w:rPr>
        <w:t xml:space="preserve">(1) In case </w:t>
      </w:r>
      <w:r w:rsidR="00FF59FC" w:rsidRPr="003450F1">
        <w:rPr>
          <w:rFonts w:eastAsiaTheme="minorEastAsia"/>
          <w:bdr w:val="none" w:sz="0" w:space="0" w:color="auto"/>
          <w:lang w:eastAsia="nl-NL"/>
        </w:rPr>
        <w:t>the offender is caught in the act</w:t>
      </w:r>
      <w:r w:rsidR="007C4BE7" w:rsidRPr="003450F1">
        <w:rPr>
          <w:rFonts w:eastAsiaTheme="minorEastAsia"/>
          <w:bdr w:val="none" w:sz="0" w:space="0" w:color="auto"/>
          <w:lang w:eastAsia="nl-NL"/>
        </w:rPr>
        <w:t xml:space="preserve"> of committing a crime [‘</w:t>
      </w:r>
      <w:r w:rsidR="007C4BE7" w:rsidRPr="003450F1">
        <w:rPr>
          <w:rFonts w:eastAsiaTheme="minorEastAsia"/>
          <w:i/>
          <w:bdr w:val="none" w:sz="0" w:space="0" w:color="auto"/>
          <w:lang w:eastAsia="nl-NL"/>
        </w:rPr>
        <w:t>crime</w:t>
      </w:r>
      <w:r w:rsidR="007C4BE7" w:rsidRPr="003450F1">
        <w:rPr>
          <w:rFonts w:eastAsiaTheme="minorEastAsia"/>
          <w:bdr w:val="none" w:sz="0" w:space="0" w:color="auto"/>
          <w:lang w:eastAsia="nl-NL"/>
        </w:rPr>
        <w:t>’]</w:t>
      </w:r>
      <w:r w:rsidR="001A711E" w:rsidRPr="003450F1">
        <w:rPr>
          <w:rFonts w:eastAsiaTheme="minorEastAsia"/>
          <w:bdr w:val="none" w:sz="0" w:space="0" w:color="auto"/>
          <w:lang w:eastAsia="nl-NL"/>
        </w:rPr>
        <w:t>, the offi</w:t>
      </w:r>
      <w:r w:rsidR="00FF59FC" w:rsidRPr="003450F1">
        <w:rPr>
          <w:rFonts w:eastAsiaTheme="minorEastAsia"/>
          <w:bdr w:val="none" w:sz="0" w:space="0" w:color="auto"/>
          <w:lang w:eastAsia="nl-NL"/>
        </w:rPr>
        <w:t>cer of the judicial police</w:t>
      </w:r>
      <w:r w:rsidR="00E4779F" w:rsidRPr="003450F1">
        <w:rPr>
          <w:rFonts w:eastAsiaTheme="minorEastAsia"/>
          <w:bdr w:val="none" w:sz="0" w:space="0" w:color="auto"/>
          <w:lang w:eastAsia="nl-NL"/>
        </w:rPr>
        <w:t>,</w:t>
      </w:r>
      <w:r w:rsidR="00FF59FC" w:rsidRPr="003450F1">
        <w:rPr>
          <w:rFonts w:eastAsiaTheme="minorEastAsia"/>
          <w:bdr w:val="none" w:sz="0" w:space="0" w:color="auto"/>
          <w:lang w:eastAsia="nl-NL"/>
        </w:rPr>
        <w:t xml:space="preserve"> who</w:t>
      </w:r>
      <w:r w:rsidR="001A711E" w:rsidRPr="003450F1">
        <w:rPr>
          <w:rFonts w:eastAsiaTheme="minorEastAsia"/>
          <w:bdr w:val="none" w:sz="0" w:space="0" w:color="auto"/>
          <w:lang w:eastAsia="nl-NL"/>
        </w:rPr>
        <w:t xml:space="preserve"> is notified immediately by the </w:t>
      </w:r>
      <w:r w:rsidR="00E4779F" w:rsidRPr="003450F1">
        <w:rPr>
          <w:rFonts w:eastAsiaTheme="minorEastAsia"/>
          <w:bdr w:val="none" w:sz="0" w:space="0" w:color="auto"/>
          <w:lang w:eastAsia="nl-NL"/>
        </w:rPr>
        <w:t xml:space="preserve">public </w:t>
      </w:r>
      <w:r w:rsidR="001A711E" w:rsidRPr="003450F1">
        <w:rPr>
          <w:rFonts w:eastAsiaTheme="minorEastAsia"/>
          <w:bdr w:val="none" w:sz="0" w:space="0" w:color="auto"/>
          <w:lang w:eastAsia="nl-NL"/>
        </w:rPr>
        <w:t xml:space="preserve">prosecutor, goes without delay to the scene of the crime and proceeds </w:t>
      </w:r>
      <w:r w:rsidR="00E4779F" w:rsidRPr="003450F1">
        <w:rPr>
          <w:rFonts w:eastAsiaTheme="minorEastAsia"/>
          <w:bdr w:val="none" w:sz="0" w:space="0" w:color="auto"/>
          <w:lang w:eastAsia="nl-NL"/>
        </w:rPr>
        <w:t>to</w:t>
      </w:r>
      <w:r w:rsidR="001A711E" w:rsidRPr="003450F1">
        <w:rPr>
          <w:rFonts w:eastAsiaTheme="minorEastAsia"/>
          <w:bdr w:val="none" w:sz="0" w:space="0" w:color="auto"/>
          <w:lang w:eastAsia="nl-NL"/>
        </w:rPr>
        <w:t xml:space="preserve"> all the useful finding</w:t>
      </w:r>
      <w:r w:rsidR="00E4779F" w:rsidRPr="003450F1">
        <w:rPr>
          <w:rFonts w:eastAsiaTheme="minorEastAsia"/>
          <w:bdr w:val="none" w:sz="0" w:space="0" w:color="auto"/>
          <w:lang w:eastAsia="nl-NL"/>
        </w:rPr>
        <w:t>s</w:t>
      </w:r>
      <w:r w:rsidR="001A711E" w:rsidRPr="003450F1">
        <w:rPr>
          <w:rFonts w:eastAsiaTheme="minorEastAsia"/>
          <w:bdr w:val="none" w:sz="0" w:space="0" w:color="auto"/>
          <w:lang w:eastAsia="nl-NL"/>
        </w:rPr>
        <w:t xml:space="preserve">. </w:t>
      </w:r>
    </w:p>
    <w:p w14:paraId="266D2992" w14:textId="23E711EB" w:rsidR="001A711E" w:rsidRPr="003450F1" w:rsidRDefault="007C4BE7"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(2) H</w:t>
      </w:r>
      <w:r w:rsidR="001A711E" w:rsidRPr="003450F1">
        <w:rPr>
          <w:rFonts w:eastAsiaTheme="minorEastAsia"/>
          <w:bdr w:val="none" w:sz="0" w:space="0" w:color="auto"/>
          <w:lang w:eastAsia="nl-NL"/>
        </w:rPr>
        <w:t xml:space="preserve">e takes care of the preservation of the findings susceptible to disappearance and of all those elements which could contribute to </w:t>
      </w:r>
      <w:r w:rsidRPr="003450F1">
        <w:rPr>
          <w:rFonts w:eastAsiaTheme="minorEastAsia"/>
          <w:bdr w:val="none" w:sz="0" w:space="0" w:color="auto"/>
          <w:lang w:eastAsia="nl-NL"/>
        </w:rPr>
        <w:t xml:space="preserve">revealing </w:t>
      </w:r>
      <w:r w:rsidR="001A711E" w:rsidRPr="003450F1">
        <w:rPr>
          <w:rFonts w:eastAsiaTheme="minorEastAsia"/>
          <w:bdr w:val="none" w:sz="0" w:space="0" w:color="auto"/>
          <w:lang w:eastAsia="nl-NL"/>
        </w:rPr>
        <w:t xml:space="preserve">the truth. </w:t>
      </w:r>
    </w:p>
    <w:p w14:paraId="44E07B8A" w14:textId="4FF40EBF" w:rsidR="001A711E" w:rsidRPr="003450F1" w:rsidRDefault="007C4BE7"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pPr>
      <w:r w:rsidRPr="003450F1">
        <w:rPr>
          <w:rFonts w:eastAsiaTheme="minorEastAsia"/>
          <w:bdr w:val="none" w:sz="0" w:space="0" w:color="auto"/>
          <w:lang w:eastAsia="nl-NL"/>
        </w:rPr>
        <w:t xml:space="preserve">(3) </w:t>
      </w:r>
      <w:r w:rsidRPr="003450F1">
        <w:rPr>
          <w:rFonts w:eastAsiaTheme="minorEastAsia"/>
          <w:i/>
          <w:bdr w:val="none" w:sz="0" w:space="0" w:color="auto"/>
          <w:lang w:eastAsia="nl-NL"/>
        </w:rPr>
        <w:t>H</w:t>
      </w:r>
      <w:r w:rsidR="001A711E" w:rsidRPr="003450F1">
        <w:rPr>
          <w:rFonts w:eastAsiaTheme="minorEastAsia"/>
          <w:i/>
          <w:bdr w:val="none" w:sz="0" w:space="0" w:color="auto"/>
          <w:lang w:eastAsia="nl-NL"/>
        </w:rPr>
        <w:t>e seizes the objects, documents, data stored, processed or transmi</w:t>
      </w:r>
      <w:r w:rsidR="00327B48" w:rsidRPr="003450F1">
        <w:rPr>
          <w:rFonts w:eastAsiaTheme="minorEastAsia"/>
          <w:i/>
          <w:bdr w:val="none" w:sz="0" w:space="0" w:color="auto"/>
          <w:lang w:eastAsia="nl-NL"/>
        </w:rPr>
        <w:t xml:space="preserve">tted in a system of processing </w:t>
      </w:r>
      <w:r w:rsidR="001A711E" w:rsidRPr="003450F1">
        <w:rPr>
          <w:rFonts w:eastAsiaTheme="minorEastAsia"/>
          <w:i/>
          <w:bdr w:val="none" w:sz="0" w:space="0" w:color="auto"/>
          <w:lang w:eastAsia="nl-NL"/>
        </w:rPr>
        <w:t>or of automatic transmission of data and equipment</w:t>
      </w:r>
      <w:r w:rsidR="001A711E" w:rsidRPr="003450F1">
        <w:rPr>
          <w:rFonts w:eastAsiaTheme="minorEastAsia"/>
          <w:bdr w:val="none" w:sz="0" w:space="0" w:color="auto"/>
          <w:lang w:eastAsia="nl-NL"/>
        </w:rPr>
        <w:t xml:space="preserve"> used for committing the crime or intended to be used for committing the crime and those whi</w:t>
      </w:r>
      <w:r w:rsidRPr="003450F1">
        <w:rPr>
          <w:rFonts w:eastAsiaTheme="minorEastAsia"/>
          <w:bdr w:val="none" w:sz="0" w:space="0" w:color="auto"/>
          <w:lang w:eastAsia="nl-NL"/>
        </w:rPr>
        <w:t>ch form the object of the crime or</w:t>
      </w:r>
      <w:r w:rsidR="001A711E" w:rsidRPr="003450F1">
        <w:rPr>
          <w:rFonts w:eastAsiaTheme="minorEastAsia"/>
          <w:bdr w:val="none" w:sz="0" w:space="0" w:color="auto"/>
          <w:lang w:eastAsia="nl-NL"/>
        </w:rPr>
        <w:t xml:space="preserve"> which </w:t>
      </w:r>
      <w:r w:rsidRPr="003450F1">
        <w:rPr>
          <w:rFonts w:eastAsiaTheme="minorEastAsia"/>
          <w:bdr w:val="none" w:sz="0" w:space="0" w:color="auto"/>
          <w:lang w:eastAsia="nl-NL"/>
        </w:rPr>
        <w:t xml:space="preserve">appear </w:t>
      </w:r>
      <w:r w:rsidR="001A711E" w:rsidRPr="003450F1">
        <w:rPr>
          <w:rFonts w:eastAsiaTheme="minorEastAsia"/>
          <w:bdr w:val="none" w:sz="0" w:space="0" w:color="auto"/>
          <w:lang w:eastAsia="nl-NL"/>
        </w:rPr>
        <w:t xml:space="preserve">to be the product of the crime, as well as generally all those which seem useful for </w:t>
      </w:r>
      <w:r w:rsidR="00327B48" w:rsidRPr="003450F1">
        <w:rPr>
          <w:rFonts w:eastAsiaTheme="minorEastAsia"/>
          <w:bdr w:val="none" w:sz="0" w:space="0" w:color="auto"/>
          <w:lang w:eastAsia="nl-NL"/>
        </w:rPr>
        <w:t xml:space="preserve">revealing </w:t>
      </w:r>
      <w:r w:rsidR="001A711E" w:rsidRPr="003450F1">
        <w:rPr>
          <w:rFonts w:eastAsiaTheme="minorEastAsia"/>
          <w:bdr w:val="none" w:sz="0" w:space="0" w:color="auto"/>
          <w:lang w:eastAsia="nl-NL"/>
        </w:rPr>
        <w:t xml:space="preserve">the truth, or those </w:t>
      </w:r>
      <w:r w:rsidR="00327B48" w:rsidRPr="003450F1">
        <w:rPr>
          <w:rFonts w:eastAsiaTheme="minorEastAsia"/>
          <w:bdr w:val="none" w:sz="0" w:space="0" w:color="auto"/>
          <w:lang w:eastAsia="nl-NL"/>
        </w:rPr>
        <w:t xml:space="preserve">of which </w:t>
      </w:r>
      <w:r w:rsidR="001A711E" w:rsidRPr="003450F1">
        <w:rPr>
          <w:rFonts w:eastAsiaTheme="minorEastAsia"/>
          <w:bdr w:val="none" w:sz="0" w:space="0" w:color="auto"/>
          <w:lang w:eastAsia="nl-NL"/>
        </w:rPr>
        <w:t xml:space="preserve">the use </w:t>
      </w:r>
      <w:r w:rsidR="001A711E" w:rsidRPr="003450F1">
        <w:rPr>
          <w:rStyle w:val="hps"/>
          <w:color w:val="222222"/>
          <w:lang w:val="en"/>
        </w:rPr>
        <w:t>would be likely to</w:t>
      </w:r>
      <w:r w:rsidR="001A711E" w:rsidRPr="003450F1">
        <w:rPr>
          <w:color w:val="222222"/>
          <w:lang w:val="en"/>
        </w:rPr>
        <w:t xml:space="preserve"> </w:t>
      </w:r>
      <w:r w:rsidR="001A711E" w:rsidRPr="003450F1">
        <w:rPr>
          <w:rStyle w:val="hps"/>
          <w:color w:val="222222"/>
          <w:lang w:val="en"/>
        </w:rPr>
        <w:t>harm the</w:t>
      </w:r>
      <w:r w:rsidR="001A711E" w:rsidRPr="003450F1">
        <w:rPr>
          <w:color w:val="222222"/>
          <w:lang w:val="en"/>
        </w:rPr>
        <w:t xml:space="preserve"> </w:t>
      </w:r>
      <w:r w:rsidR="001A711E" w:rsidRPr="003450F1">
        <w:rPr>
          <w:rStyle w:val="hps"/>
          <w:color w:val="222222"/>
          <w:lang w:val="en"/>
        </w:rPr>
        <w:t>smooth conduct of the</w:t>
      </w:r>
      <w:r w:rsidR="001A711E" w:rsidRPr="003450F1">
        <w:rPr>
          <w:color w:val="222222"/>
          <w:lang w:val="en"/>
        </w:rPr>
        <w:t xml:space="preserve"> </w:t>
      </w:r>
      <w:r w:rsidR="00327B48" w:rsidRPr="003450F1">
        <w:rPr>
          <w:color w:val="222222"/>
          <w:lang w:val="en"/>
        </w:rPr>
        <w:t>judicial inquiry</w:t>
      </w:r>
      <w:r w:rsidR="00327B48" w:rsidRPr="003450F1">
        <w:rPr>
          <w:rStyle w:val="hps"/>
          <w:color w:val="222222"/>
          <w:lang w:val="en"/>
        </w:rPr>
        <w:t>,</w:t>
      </w:r>
      <w:r w:rsidR="001A711E" w:rsidRPr="003450F1">
        <w:rPr>
          <w:rStyle w:val="hps"/>
          <w:color w:val="222222"/>
          <w:lang w:val="en"/>
        </w:rPr>
        <w:t xml:space="preserve"> and all those which </w:t>
      </w:r>
      <w:r w:rsidR="00327B48" w:rsidRPr="003450F1">
        <w:rPr>
          <w:rStyle w:val="hps"/>
          <w:color w:val="222222"/>
          <w:lang w:val="en"/>
        </w:rPr>
        <w:t xml:space="preserve">can be the object of a </w:t>
      </w:r>
      <w:r w:rsidR="001A711E" w:rsidRPr="003450F1">
        <w:rPr>
          <w:rStyle w:val="hps"/>
          <w:color w:val="222222"/>
          <w:lang w:val="en"/>
        </w:rPr>
        <w:t xml:space="preserve">confiscation or </w:t>
      </w:r>
      <w:r w:rsidR="00327B48" w:rsidRPr="003450F1">
        <w:rPr>
          <w:rStyle w:val="hps"/>
          <w:color w:val="222222"/>
          <w:lang w:val="en"/>
        </w:rPr>
        <w:t xml:space="preserve">a </w:t>
      </w:r>
      <w:r w:rsidR="001A711E" w:rsidRPr="003450F1">
        <w:rPr>
          <w:rStyle w:val="hps"/>
          <w:color w:val="222222"/>
          <w:lang w:val="en"/>
        </w:rPr>
        <w:t>restitution.</w:t>
      </w:r>
      <w:r w:rsidR="00017ADA" w:rsidRPr="003450F1">
        <w:rPr>
          <w:rStyle w:val="hps"/>
          <w:color w:val="222222"/>
          <w:lang w:val="en"/>
        </w:rPr>
        <w:t>’</w:t>
      </w:r>
      <w:r w:rsidR="00327B48" w:rsidRPr="003450F1">
        <w:rPr>
          <w:rStyle w:val="Odwoanieprzypisudolnego"/>
          <w:color w:val="222222"/>
          <w:lang w:val="en"/>
        </w:rPr>
        <w:footnoteReference w:id="82"/>
      </w:r>
    </w:p>
    <w:p w14:paraId="72F02B21" w14:textId="7777777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Furthermore, Artic</w:t>
      </w:r>
      <w:r w:rsidR="00311803" w:rsidRPr="003450F1">
        <w:t>l</w:t>
      </w:r>
      <w:r w:rsidRPr="003450F1">
        <w:t xml:space="preserve">e 33 (1) of the Code of Criminal Procedure sets forth that: </w:t>
      </w:r>
    </w:p>
    <w:p w14:paraId="02B39491" w14:textId="743B8DF0"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Style w:val="hps"/>
          <w:color w:val="222222"/>
        </w:rPr>
        <w:lastRenderedPageBreak/>
        <w:t>‘</w:t>
      </w:r>
      <w:r w:rsidR="001A711E" w:rsidRPr="003450F1">
        <w:rPr>
          <w:rStyle w:val="hps"/>
          <w:color w:val="222222"/>
          <w:lang w:val="en"/>
        </w:rPr>
        <w:t xml:space="preserve">If </w:t>
      </w:r>
      <w:r w:rsidR="001A711E" w:rsidRPr="003450F1">
        <w:rPr>
          <w:rStyle w:val="hps"/>
          <w:lang w:val="en"/>
        </w:rPr>
        <w:t>the nature</w:t>
      </w:r>
      <w:r w:rsidR="001A711E" w:rsidRPr="003450F1">
        <w:rPr>
          <w:lang w:val="en"/>
        </w:rPr>
        <w:t xml:space="preserve"> </w:t>
      </w:r>
      <w:r w:rsidR="001A711E" w:rsidRPr="003450F1">
        <w:rPr>
          <w:rStyle w:val="hps"/>
          <w:lang w:val="en"/>
        </w:rPr>
        <w:t>of the crime</w:t>
      </w:r>
      <w:r w:rsidR="001A711E" w:rsidRPr="003450F1">
        <w:rPr>
          <w:lang w:val="en"/>
        </w:rPr>
        <w:t xml:space="preserve"> </w:t>
      </w:r>
      <w:r w:rsidR="001A711E" w:rsidRPr="003450F1">
        <w:rPr>
          <w:rStyle w:val="hps"/>
          <w:lang w:val="en"/>
        </w:rPr>
        <w:t>is such that the</w:t>
      </w:r>
      <w:r w:rsidR="001A711E" w:rsidRPr="003450F1">
        <w:rPr>
          <w:lang w:val="en"/>
        </w:rPr>
        <w:t xml:space="preserve"> </w:t>
      </w:r>
      <w:r w:rsidR="001A711E" w:rsidRPr="003450F1">
        <w:rPr>
          <w:rStyle w:val="hps"/>
          <w:lang w:val="en"/>
        </w:rPr>
        <w:t>evidence</w:t>
      </w:r>
      <w:r w:rsidR="001A711E" w:rsidRPr="003450F1">
        <w:rPr>
          <w:lang w:val="en"/>
        </w:rPr>
        <w:t xml:space="preserve"> </w:t>
      </w:r>
      <w:r w:rsidR="00F07A13" w:rsidRPr="003450F1">
        <w:rPr>
          <w:rStyle w:val="hps"/>
          <w:lang w:val="en"/>
        </w:rPr>
        <w:t xml:space="preserve">sought </w:t>
      </w:r>
      <w:r w:rsidR="001A711E" w:rsidRPr="003450F1">
        <w:rPr>
          <w:rStyle w:val="hps"/>
          <w:lang w:val="en"/>
        </w:rPr>
        <w:t xml:space="preserve">by the seizure of papers, documents, </w:t>
      </w:r>
      <w:r w:rsidR="001A711E" w:rsidRPr="003450F1">
        <w:rPr>
          <w:rFonts w:eastAsiaTheme="minorEastAsia"/>
          <w:bdr w:val="none" w:sz="0" w:space="0" w:color="auto"/>
          <w:lang w:eastAsia="nl-NL"/>
        </w:rPr>
        <w:t xml:space="preserve">data stored, processed or transmitted in a system of processing or of automatic transmission of data or other objects possessed by persons who appear to have participated in the crime or </w:t>
      </w:r>
      <w:r w:rsidR="00327B48" w:rsidRPr="003450F1">
        <w:rPr>
          <w:rFonts w:eastAsiaTheme="minorEastAsia"/>
          <w:bdr w:val="none" w:sz="0" w:space="0" w:color="auto"/>
          <w:lang w:eastAsia="nl-NL"/>
        </w:rPr>
        <w:t xml:space="preserve">to have </w:t>
      </w:r>
      <w:r w:rsidR="001A711E" w:rsidRPr="003450F1">
        <w:rPr>
          <w:rFonts w:eastAsiaTheme="minorEastAsia"/>
          <w:bdr w:val="none" w:sz="0" w:space="0" w:color="auto"/>
          <w:lang w:eastAsia="nl-NL"/>
        </w:rPr>
        <w:t xml:space="preserve">withheld pieces, data or objects relevant to the </w:t>
      </w:r>
      <w:r w:rsidR="00327B48" w:rsidRPr="003450F1">
        <w:rPr>
          <w:rFonts w:eastAsiaTheme="minorEastAsia"/>
          <w:bdr w:val="none" w:sz="0" w:space="0" w:color="auto"/>
          <w:lang w:eastAsia="nl-NL"/>
        </w:rPr>
        <w:t xml:space="preserve">criminal </w:t>
      </w:r>
      <w:r w:rsidR="001A711E" w:rsidRPr="003450F1">
        <w:rPr>
          <w:rFonts w:eastAsiaTheme="minorEastAsia"/>
          <w:bdr w:val="none" w:sz="0" w:space="0" w:color="auto"/>
          <w:lang w:eastAsia="nl-NL"/>
        </w:rPr>
        <w:t xml:space="preserve">events, the officer of the judicial police goes to their residence without delay, </w:t>
      </w:r>
      <w:r w:rsidR="00A800D2" w:rsidRPr="003450F1">
        <w:rPr>
          <w:rFonts w:eastAsiaTheme="minorEastAsia"/>
          <w:bdr w:val="none" w:sz="0" w:space="0" w:color="auto"/>
          <w:lang w:eastAsia="nl-NL"/>
        </w:rPr>
        <w:t xml:space="preserve">in order </w:t>
      </w:r>
      <w:r w:rsidR="001A711E" w:rsidRPr="003450F1">
        <w:rPr>
          <w:rFonts w:eastAsiaTheme="minorEastAsia"/>
          <w:bdr w:val="none" w:sz="0" w:space="0" w:color="auto"/>
          <w:lang w:eastAsia="nl-NL"/>
        </w:rPr>
        <w:t>to proceed to a search, which is reported</w:t>
      </w:r>
      <w:r w:rsidR="00A800D2" w:rsidRPr="003450F1">
        <w:rPr>
          <w:rFonts w:eastAsiaTheme="minorEastAsia"/>
          <w:bdr w:val="none" w:sz="0" w:space="0" w:color="auto"/>
          <w:lang w:eastAsia="nl-NL"/>
        </w:rPr>
        <w:t xml:space="preserve"> in a written record,</w:t>
      </w:r>
      <w:r w:rsidR="001A711E" w:rsidRPr="003450F1">
        <w:rPr>
          <w:rFonts w:eastAsiaTheme="minorEastAsia"/>
          <w:bdr w:val="none" w:sz="0" w:space="0" w:color="auto"/>
          <w:lang w:eastAsia="nl-NL"/>
        </w:rPr>
        <w:t xml:space="preserve"> and </w:t>
      </w:r>
      <w:r w:rsidR="00A800D2" w:rsidRPr="003450F1">
        <w:rPr>
          <w:rFonts w:eastAsiaTheme="minorEastAsia"/>
          <w:bdr w:val="none" w:sz="0" w:space="0" w:color="auto"/>
          <w:lang w:eastAsia="nl-NL"/>
        </w:rPr>
        <w:t>to seize the relevant objects</w:t>
      </w:r>
      <w:r w:rsidR="001A711E" w:rsidRPr="003450F1">
        <w:rPr>
          <w:rFonts w:eastAsiaTheme="minorEastAsia"/>
          <w:bdr w:val="none" w:sz="0" w:space="0" w:color="auto"/>
          <w:lang w:eastAsia="nl-NL"/>
        </w:rPr>
        <w:t xml:space="preserve">. This search may take place </w:t>
      </w:r>
      <w:r w:rsidR="00A800D2" w:rsidRPr="003450F1">
        <w:rPr>
          <w:rFonts w:eastAsiaTheme="minorEastAsia"/>
          <w:bdr w:val="none" w:sz="0" w:space="0" w:color="auto"/>
          <w:lang w:eastAsia="nl-NL"/>
        </w:rPr>
        <w:t xml:space="preserve">at </w:t>
      </w:r>
      <w:r w:rsidR="001A711E" w:rsidRPr="003450F1">
        <w:rPr>
          <w:rFonts w:eastAsiaTheme="minorEastAsia"/>
          <w:bdr w:val="none" w:sz="0" w:space="0" w:color="auto"/>
          <w:lang w:eastAsia="nl-NL"/>
        </w:rPr>
        <w:t>any time during the day or night.</w:t>
      </w:r>
      <w:r w:rsidRPr="003450F1">
        <w:rPr>
          <w:rFonts w:eastAsiaTheme="minorEastAsia"/>
          <w:bdr w:val="none" w:sz="0" w:space="0" w:color="auto"/>
          <w:lang w:eastAsia="nl-NL"/>
        </w:rPr>
        <w:t>’</w:t>
      </w:r>
    </w:p>
    <w:p w14:paraId="29ED7192" w14:textId="5922E9DA" w:rsidR="00327B48" w:rsidRPr="003450F1" w:rsidRDefault="00327B48"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In accordance with Article 40 of the Code of Criminal Procedure, the above provisions are also applicable in case of a ‘</w:t>
      </w:r>
      <w:proofErr w:type="spellStart"/>
      <w:r w:rsidRPr="003450F1">
        <w:rPr>
          <w:i/>
        </w:rPr>
        <w:t>délit</w:t>
      </w:r>
      <w:proofErr w:type="spellEnd"/>
      <w:r w:rsidRPr="003450F1">
        <w:rPr>
          <w:i/>
        </w:rPr>
        <w:t xml:space="preserve"> flagrant</w:t>
      </w:r>
      <w:r w:rsidRPr="003450F1">
        <w:t>’.</w:t>
      </w:r>
    </w:p>
    <w:p w14:paraId="3E5730A7" w14:textId="77777777"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pPr>
      <w:r w:rsidRPr="003450F1">
        <w:t xml:space="preserve">The second hypothesis, relating to the </w:t>
      </w:r>
      <w:r w:rsidRPr="003450F1">
        <w:rPr>
          <w:i/>
        </w:rPr>
        <w:t>seizure of data</w:t>
      </w:r>
      <w:r w:rsidRPr="003450F1">
        <w:t xml:space="preserve"> when the offender is </w:t>
      </w:r>
      <w:r w:rsidRPr="003450F1">
        <w:rPr>
          <w:i/>
        </w:rPr>
        <w:t>not caught red-handed</w:t>
      </w:r>
      <w:r w:rsidRPr="003450F1">
        <w:t xml:space="preserve">, is governed by Article 66 of the Code of Criminal Procedure: </w:t>
      </w:r>
    </w:p>
    <w:p w14:paraId="31F2566E" w14:textId="6631E3AA" w:rsidR="001A711E" w:rsidRPr="003450F1" w:rsidRDefault="00017ADA"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t>‘</w:t>
      </w:r>
      <w:r w:rsidR="001A711E" w:rsidRPr="003450F1">
        <w:rPr>
          <w:rFonts w:eastAsiaTheme="minorEastAsia"/>
          <w:bdr w:val="none" w:sz="0" w:space="0" w:color="auto"/>
          <w:lang w:eastAsia="nl-NL"/>
        </w:rPr>
        <w:t>(1) The investigating judge seizes al</w:t>
      </w:r>
      <w:r w:rsidR="00311803" w:rsidRPr="003450F1">
        <w:rPr>
          <w:rFonts w:eastAsiaTheme="minorEastAsia"/>
          <w:bdr w:val="none" w:sz="0" w:space="0" w:color="auto"/>
          <w:lang w:eastAsia="nl-NL"/>
        </w:rPr>
        <w:t xml:space="preserve">l the objects, documents, </w:t>
      </w:r>
      <w:r w:rsidR="00A800D2" w:rsidRPr="003450F1">
        <w:rPr>
          <w:rFonts w:eastAsiaTheme="minorEastAsia"/>
          <w:bdr w:val="none" w:sz="0" w:space="0" w:color="auto"/>
          <w:lang w:eastAsia="nl-NL"/>
        </w:rPr>
        <w:t>stocks</w:t>
      </w:r>
      <w:r w:rsidR="001A711E" w:rsidRPr="003450F1">
        <w:rPr>
          <w:rFonts w:eastAsiaTheme="minorEastAsia"/>
          <w:bdr w:val="none" w:sz="0" w:space="0" w:color="auto"/>
          <w:lang w:eastAsia="nl-NL"/>
        </w:rPr>
        <w:t xml:space="preserve">, data stored, processed or transmitted in a system of processing or of automatic transmission of data and any other </w:t>
      </w:r>
      <w:r w:rsidR="00A800D2" w:rsidRPr="003450F1">
        <w:rPr>
          <w:rFonts w:eastAsiaTheme="minorEastAsia"/>
          <w:bdr w:val="none" w:sz="0" w:space="0" w:color="auto"/>
          <w:lang w:eastAsia="nl-NL"/>
        </w:rPr>
        <w:t xml:space="preserve">referred to </w:t>
      </w:r>
      <w:r w:rsidR="001A711E" w:rsidRPr="003450F1">
        <w:rPr>
          <w:rFonts w:eastAsiaTheme="minorEastAsia"/>
          <w:bdr w:val="none" w:sz="0" w:space="0" w:color="auto"/>
          <w:lang w:eastAsia="nl-NL"/>
        </w:rPr>
        <w:t>in Article 31</w:t>
      </w:r>
      <w:r w:rsidR="00A800D2" w:rsidRPr="003450F1">
        <w:rPr>
          <w:rFonts w:eastAsiaTheme="minorEastAsia"/>
          <w:bdr w:val="none" w:sz="0" w:space="0" w:color="auto"/>
          <w:lang w:eastAsia="nl-NL"/>
        </w:rPr>
        <w:t xml:space="preserve"> </w:t>
      </w:r>
      <w:r w:rsidR="001A711E" w:rsidRPr="003450F1">
        <w:rPr>
          <w:rFonts w:eastAsiaTheme="minorEastAsia"/>
          <w:bdr w:val="none" w:sz="0" w:space="0" w:color="auto"/>
          <w:lang w:eastAsia="nl-NL"/>
        </w:rPr>
        <w:t>(3)</w:t>
      </w:r>
      <w:r w:rsidR="00A800D2" w:rsidRPr="003450F1">
        <w:rPr>
          <w:rFonts w:eastAsiaTheme="minorEastAsia"/>
          <w:bdr w:val="none" w:sz="0" w:space="0" w:color="auto"/>
          <w:lang w:eastAsia="nl-NL"/>
        </w:rPr>
        <w:t>.</w:t>
      </w:r>
    </w:p>
    <w:p w14:paraId="18B0E29B" w14:textId="06ADA377" w:rsidR="001A711E" w:rsidRPr="003450F1" w:rsidRDefault="001A711E" w:rsidP="00A800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 xml:space="preserve">(2) The objects, documents, </w:t>
      </w:r>
      <w:r w:rsidR="00A800D2" w:rsidRPr="003450F1">
        <w:rPr>
          <w:rFonts w:eastAsiaTheme="minorEastAsia"/>
          <w:bdr w:val="none" w:sz="0" w:space="0" w:color="auto"/>
          <w:lang w:eastAsia="nl-NL"/>
        </w:rPr>
        <w:t>stocks</w:t>
      </w:r>
      <w:r w:rsidRPr="003450F1">
        <w:rPr>
          <w:rFonts w:eastAsiaTheme="minorEastAsia"/>
          <w:bdr w:val="none" w:sz="0" w:space="0" w:color="auto"/>
          <w:lang w:eastAsia="nl-NL"/>
        </w:rPr>
        <w:t xml:space="preserve">, data and any other seized are </w:t>
      </w:r>
      <w:r w:rsidR="00A800D2" w:rsidRPr="003450F1">
        <w:rPr>
          <w:rFonts w:eastAsiaTheme="minorEastAsia"/>
          <w:bdr w:val="none" w:sz="0" w:space="0" w:color="auto"/>
          <w:lang w:eastAsia="nl-NL"/>
        </w:rPr>
        <w:t>listed</w:t>
      </w:r>
      <w:r w:rsidRPr="003450F1">
        <w:rPr>
          <w:rFonts w:eastAsiaTheme="minorEastAsia"/>
          <w:bdr w:val="none" w:sz="0" w:space="0" w:color="auto"/>
          <w:lang w:eastAsia="nl-NL"/>
        </w:rPr>
        <w:t xml:space="preserve"> in </w:t>
      </w:r>
      <w:r w:rsidR="00A800D2" w:rsidRPr="003450F1">
        <w:rPr>
          <w:rFonts w:eastAsiaTheme="minorEastAsia"/>
          <w:bdr w:val="none" w:sz="0" w:space="0" w:color="auto"/>
          <w:lang w:eastAsia="nl-NL"/>
        </w:rPr>
        <w:t>written record</w:t>
      </w:r>
      <w:r w:rsidRPr="003450F1">
        <w:rPr>
          <w:rFonts w:eastAsiaTheme="minorEastAsia"/>
          <w:bdr w:val="none" w:sz="0" w:space="0" w:color="auto"/>
          <w:lang w:eastAsia="nl-NL"/>
        </w:rPr>
        <w:t xml:space="preserve">. If an inventory cannot be drafted on site, they are sealed until they are </w:t>
      </w:r>
      <w:r w:rsidR="00A800D2" w:rsidRPr="003450F1">
        <w:rPr>
          <w:rFonts w:eastAsiaTheme="minorEastAsia"/>
          <w:bdr w:val="none" w:sz="0" w:space="0" w:color="auto"/>
          <w:lang w:eastAsia="nl-NL"/>
        </w:rPr>
        <w:t xml:space="preserve">listed </w:t>
      </w:r>
      <w:r w:rsidRPr="003450F1">
        <w:rPr>
          <w:rFonts w:eastAsiaTheme="minorEastAsia"/>
          <w:bdr w:val="none" w:sz="0" w:space="0" w:color="auto"/>
          <w:lang w:eastAsia="nl-NL"/>
        </w:rPr>
        <w:t>in the inventory, in the presence of persons who have assisted to the search</w:t>
      </w:r>
      <w:r w:rsidR="00A800D2" w:rsidRPr="003450F1">
        <w:rPr>
          <w:rFonts w:eastAsiaTheme="minorEastAsia"/>
          <w:bdr w:val="none" w:sz="0" w:space="0" w:color="auto"/>
          <w:lang w:eastAsia="nl-NL"/>
        </w:rPr>
        <w:t xml:space="preserve"> of the private premises</w:t>
      </w:r>
      <w:r w:rsidRPr="003450F1">
        <w:rPr>
          <w:rFonts w:eastAsiaTheme="minorEastAsia"/>
          <w:bdr w:val="none" w:sz="0" w:space="0" w:color="auto"/>
          <w:lang w:eastAsia="nl-NL"/>
        </w:rPr>
        <w:t>.</w:t>
      </w:r>
    </w:p>
    <w:p w14:paraId="54F21A97" w14:textId="2BC12141" w:rsidR="001A711E" w:rsidRPr="003450F1" w:rsidRDefault="001A711E"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bdr w:val="none" w:sz="0" w:space="0" w:color="auto"/>
          <w:lang w:eastAsia="nl-NL"/>
        </w:rPr>
      </w:pPr>
      <w:r w:rsidRPr="003450F1">
        <w:rPr>
          <w:rFonts w:eastAsiaTheme="minorEastAsia"/>
          <w:bdr w:val="none" w:sz="0" w:space="0" w:color="auto"/>
          <w:lang w:eastAsia="nl-NL"/>
        </w:rPr>
        <w:t xml:space="preserve">(3) The seizure of data stored, processed or transmitted in a system of processing or of automatic transmission of data may take place either by </w:t>
      </w:r>
      <w:r w:rsidR="00A800D2" w:rsidRPr="003450F1">
        <w:rPr>
          <w:rFonts w:eastAsiaTheme="minorEastAsia"/>
          <w:bdr w:val="none" w:sz="0" w:space="0" w:color="auto"/>
          <w:lang w:eastAsia="nl-NL"/>
        </w:rPr>
        <w:t xml:space="preserve">a </w:t>
      </w:r>
      <w:r w:rsidRPr="003450F1">
        <w:rPr>
          <w:rFonts w:eastAsiaTheme="minorEastAsia"/>
          <w:bdr w:val="none" w:sz="0" w:space="0" w:color="auto"/>
          <w:lang w:eastAsia="nl-NL"/>
        </w:rPr>
        <w:t>seizure of</w:t>
      </w:r>
      <w:r w:rsidR="00A800D2" w:rsidRPr="003450F1">
        <w:rPr>
          <w:rFonts w:eastAsiaTheme="minorEastAsia"/>
          <w:bdr w:val="none" w:sz="0" w:space="0" w:color="auto"/>
          <w:lang w:eastAsia="nl-NL"/>
        </w:rPr>
        <w:t xml:space="preserve"> the</w:t>
      </w:r>
      <w:r w:rsidRPr="003450F1">
        <w:rPr>
          <w:rFonts w:eastAsiaTheme="minorEastAsia"/>
          <w:bdr w:val="none" w:sz="0" w:space="0" w:color="auto"/>
          <w:lang w:eastAsia="nl-NL"/>
        </w:rPr>
        <w:t xml:space="preserve"> </w:t>
      </w:r>
      <w:r w:rsidR="00A800D2" w:rsidRPr="003450F1">
        <w:rPr>
          <w:rFonts w:eastAsiaTheme="minorEastAsia"/>
          <w:bdr w:val="none" w:sz="0" w:space="0" w:color="auto"/>
          <w:lang w:eastAsia="nl-NL"/>
        </w:rPr>
        <w:t xml:space="preserve">equipment or hardware containing those </w:t>
      </w:r>
      <w:r w:rsidRPr="003450F1">
        <w:rPr>
          <w:rFonts w:eastAsiaTheme="minorEastAsia"/>
          <w:bdr w:val="none" w:sz="0" w:space="0" w:color="auto"/>
          <w:lang w:eastAsia="nl-NL"/>
        </w:rPr>
        <w:t>d</w:t>
      </w:r>
      <w:r w:rsidR="00A800D2" w:rsidRPr="003450F1">
        <w:rPr>
          <w:rFonts w:eastAsiaTheme="minorEastAsia"/>
          <w:bdr w:val="none" w:sz="0" w:space="0" w:color="auto"/>
          <w:lang w:eastAsia="nl-NL"/>
        </w:rPr>
        <w:t>ata, or by making a copy of those</w:t>
      </w:r>
      <w:r w:rsidRPr="003450F1">
        <w:rPr>
          <w:rFonts w:eastAsiaTheme="minorEastAsia"/>
          <w:bdr w:val="none" w:sz="0" w:space="0" w:color="auto"/>
          <w:lang w:eastAsia="nl-NL"/>
        </w:rPr>
        <w:t xml:space="preserve"> data in the presence of persons who have assisted to the search. If a copy is made, the investigat</w:t>
      </w:r>
      <w:r w:rsidR="00A800D2" w:rsidRPr="003450F1">
        <w:rPr>
          <w:rFonts w:eastAsiaTheme="minorEastAsia"/>
          <w:bdr w:val="none" w:sz="0" w:space="0" w:color="auto"/>
          <w:lang w:eastAsia="nl-NL"/>
        </w:rPr>
        <w:t xml:space="preserve">ing judge </w:t>
      </w:r>
      <w:r w:rsidR="00F07A13" w:rsidRPr="003450F1">
        <w:rPr>
          <w:rFonts w:eastAsiaTheme="minorEastAsia"/>
          <w:bdr w:val="none" w:sz="0" w:space="0" w:color="auto"/>
          <w:lang w:eastAsia="nl-NL"/>
        </w:rPr>
        <w:t>may</w:t>
      </w:r>
      <w:r w:rsidR="00A800D2" w:rsidRPr="003450F1">
        <w:rPr>
          <w:rFonts w:eastAsiaTheme="minorEastAsia"/>
          <w:bdr w:val="none" w:sz="0" w:space="0" w:color="auto"/>
          <w:lang w:eastAsia="nl-NL"/>
        </w:rPr>
        <w:t xml:space="preserve"> order that </w:t>
      </w:r>
      <w:r w:rsidR="00A800D2" w:rsidRPr="003450F1">
        <w:rPr>
          <w:rStyle w:val="hps"/>
          <w:lang w:val="en"/>
        </w:rPr>
        <w:t xml:space="preserve">the </w:t>
      </w:r>
      <w:r w:rsidR="00FA2C63" w:rsidRPr="003450F1">
        <w:rPr>
          <w:rFonts w:eastAsiaTheme="minorEastAsia"/>
          <w:bdr w:val="none" w:sz="0" w:space="0" w:color="auto"/>
          <w:lang w:eastAsia="nl-NL"/>
        </w:rPr>
        <w:t xml:space="preserve">data stored, processed or transmitted in a processing system or an automatic data transmission system </w:t>
      </w:r>
      <w:r w:rsidR="00A800D2" w:rsidRPr="003450F1">
        <w:rPr>
          <w:rStyle w:val="hps"/>
          <w:lang w:val="en"/>
        </w:rPr>
        <w:t>are definitively erased</w:t>
      </w:r>
      <w:r w:rsidR="00FA2C63" w:rsidRPr="003450F1">
        <w:rPr>
          <w:rStyle w:val="hps"/>
          <w:lang w:val="en"/>
        </w:rPr>
        <w:t xml:space="preserve"> from the equipment or hardware, provided that</w:t>
      </w:r>
      <w:r w:rsidRPr="003450F1">
        <w:rPr>
          <w:rStyle w:val="hps"/>
          <w:lang w:val="en"/>
        </w:rPr>
        <w:t xml:space="preserve"> the </w:t>
      </w:r>
      <w:r w:rsidR="00A800D2" w:rsidRPr="003450F1">
        <w:rPr>
          <w:rStyle w:val="hps"/>
          <w:lang w:val="en"/>
        </w:rPr>
        <w:t xml:space="preserve">equipment or hardware </w:t>
      </w:r>
      <w:r w:rsidRPr="003450F1">
        <w:rPr>
          <w:rStyle w:val="hps"/>
          <w:lang w:val="en"/>
        </w:rPr>
        <w:t xml:space="preserve">is located in </w:t>
      </w:r>
      <w:r w:rsidR="00A800D2" w:rsidRPr="003450F1">
        <w:rPr>
          <w:rStyle w:val="hps"/>
          <w:lang w:val="en"/>
        </w:rPr>
        <w:t xml:space="preserve">the Grand Duchy of </w:t>
      </w:r>
      <w:r w:rsidRPr="003450F1">
        <w:rPr>
          <w:rStyle w:val="hps"/>
          <w:lang w:val="en"/>
        </w:rPr>
        <w:t xml:space="preserve">Luxembourg and </w:t>
      </w:r>
      <w:r w:rsidR="00FA2C63" w:rsidRPr="003450F1">
        <w:rPr>
          <w:rStyle w:val="hps"/>
          <w:lang w:val="en"/>
        </w:rPr>
        <w:t xml:space="preserve">that </w:t>
      </w:r>
      <w:r w:rsidR="00A800D2" w:rsidRPr="003450F1">
        <w:rPr>
          <w:rStyle w:val="hps"/>
          <w:lang w:val="en"/>
        </w:rPr>
        <w:t xml:space="preserve">it is </w:t>
      </w:r>
      <w:r w:rsidRPr="003450F1">
        <w:rPr>
          <w:rStyle w:val="hps"/>
          <w:lang w:val="en"/>
        </w:rPr>
        <w:t xml:space="preserve">not in the possession of </w:t>
      </w:r>
      <w:r w:rsidR="00FA2C63" w:rsidRPr="003450F1">
        <w:rPr>
          <w:rStyle w:val="hps"/>
          <w:lang w:val="en"/>
        </w:rPr>
        <w:t xml:space="preserve">the criminal </w:t>
      </w:r>
      <w:r w:rsidRPr="003450F1">
        <w:rPr>
          <w:rStyle w:val="hps"/>
          <w:lang w:val="en"/>
        </w:rPr>
        <w:t>justice</w:t>
      </w:r>
      <w:r w:rsidR="00FA2C63" w:rsidRPr="003450F1">
        <w:rPr>
          <w:rStyle w:val="hps"/>
          <w:lang w:val="en"/>
        </w:rPr>
        <w:t xml:space="preserve"> authorities</w:t>
      </w:r>
      <w:r w:rsidRPr="003450F1">
        <w:rPr>
          <w:rStyle w:val="hps"/>
          <w:lang w:val="en"/>
        </w:rPr>
        <w:t xml:space="preserve">, </w:t>
      </w:r>
      <w:r w:rsidR="00FA2C63" w:rsidRPr="003450F1">
        <w:rPr>
          <w:rFonts w:eastAsiaTheme="minorEastAsia"/>
          <w:bdr w:val="none" w:sz="0" w:space="0" w:color="auto"/>
          <w:lang w:eastAsia="nl-NL"/>
        </w:rPr>
        <w:t xml:space="preserve">and provided that </w:t>
      </w:r>
      <w:r w:rsidRPr="003450F1">
        <w:rPr>
          <w:rFonts w:eastAsiaTheme="minorEastAsia"/>
          <w:bdr w:val="none" w:sz="0" w:space="0" w:color="auto"/>
          <w:lang w:eastAsia="nl-NL"/>
        </w:rPr>
        <w:t xml:space="preserve">the </w:t>
      </w:r>
      <w:r w:rsidR="00FA2C63" w:rsidRPr="003450F1">
        <w:rPr>
          <w:rFonts w:eastAsiaTheme="minorEastAsia"/>
          <w:bdr w:val="none" w:sz="0" w:space="0" w:color="auto"/>
          <w:lang w:eastAsia="nl-NL"/>
        </w:rPr>
        <w:t>possession</w:t>
      </w:r>
      <w:r w:rsidRPr="003450F1">
        <w:rPr>
          <w:rFonts w:eastAsiaTheme="minorEastAsia"/>
          <w:bdr w:val="none" w:sz="0" w:space="0" w:color="auto"/>
          <w:lang w:eastAsia="nl-NL"/>
        </w:rPr>
        <w:t xml:space="preserve"> </w:t>
      </w:r>
      <w:r w:rsidR="000B7CD5" w:rsidRPr="003450F1">
        <w:rPr>
          <w:rFonts w:eastAsiaTheme="minorEastAsia"/>
          <w:bdr w:val="none" w:sz="0" w:space="0" w:color="auto"/>
          <w:lang w:eastAsia="nl-NL"/>
        </w:rPr>
        <w:t xml:space="preserve">or usage </w:t>
      </w:r>
      <w:r w:rsidRPr="003450F1">
        <w:rPr>
          <w:rFonts w:eastAsiaTheme="minorEastAsia"/>
          <w:bdr w:val="none" w:sz="0" w:space="0" w:color="auto"/>
          <w:lang w:eastAsia="nl-NL"/>
        </w:rPr>
        <w:t xml:space="preserve">of </w:t>
      </w:r>
      <w:r w:rsidR="00FA2C63" w:rsidRPr="003450F1">
        <w:rPr>
          <w:rFonts w:eastAsiaTheme="minorEastAsia"/>
          <w:bdr w:val="none" w:sz="0" w:space="0" w:color="auto"/>
          <w:lang w:eastAsia="nl-NL"/>
        </w:rPr>
        <w:t xml:space="preserve">the data </w:t>
      </w:r>
      <w:r w:rsidRPr="003450F1">
        <w:rPr>
          <w:rFonts w:eastAsiaTheme="minorEastAsia"/>
          <w:bdr w:val="none" w:sz="0" w:space="0" w:color="auto"/>
          <w:lang w:eastAsia="nl-NL"/>
        </w:rPr>
        <w:t xml:space="preserve">is illegal or dangerous for the </w:t>
      </w:r>
      <w:r w:rsidR="00017ADA" w:rsidRPr="003450F1">
        <w:rPr>
          <w:rFonts w:eastAsiaTheme="minorEastAsia"/>
          <w:bdr w:val="none" w:sz="0" w:space="0" w:color="auto"/>
          <w:lang w:eastAsia="nl-NL"/>
        </w:rPr>
        <w:t>safety of persons or goods.</w:t>
      </w:r>
      <w:r w:rsidR="00460303" w:rsidRPr="003450F1">
        <w:rPr>
          <w:rFonts w:eastAsiaTheme="minorEastAsia"/>
          <w:bdr w:val="none" w:sz="0" w:space="0" w:color="auto"/>
          <w:lang w:eastAsia="nl-NL"/>
        </w:rPr>
        <w:t xml:space="preserve"> (…)</w:t>
      </w:r>
      <w:r w:rsidR="00017ADA" w:rsidRPr="003450F1">
        <w:rPr>
          <w:rFonts w:eastAsiaTheme="minorEastAsia"/>
          <w:bdr w:val="none" w:sz="0" w:space="0" w:color="auto"/>
          <w:lang w:eastAsia="nl-NL"/>
        </w:rPr>
        <w:t>’</w:t>
      </w:r>
    </w:p>
    <w:p w14:paraId="66F2FB3B" w14:textId="791BFDF8" w:rsidR="001A711E" w:rsidRPr="003450F1" w:rsidRDefault="00FA2C63"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Style w:val="hps"/>
          <w:lang w:val="en"/>
        </w:rPr>
      </w:pPr>
      <w:r w:rsidRPr="003450F1">
        <w:rPr>
          <w:rStyle w:val="hps"/>
          <w:lang w:val="en"/>
        </w:rPr>
        <w:t>Paragraph</w:t>
      </w:r>
      <w:r w:rsidR="001A711E" w:rsidRPr="003450F1">
        <w:rPr>
          <w:rStyle w:val="hps"/>
          <w:lang w:val="en"/>
        </w:rPr>
        <w:t xml:space="preserve"> (4) of the same provision provide</w:t>
      </w:r>
      <w:r w:rsidRPr="003450F1">
        <w:rPr>
          <w:rStyle w:val="hps"/>
          <w:lang w:val="en"/>
        </w:rPr>
        <w:t xml:space="preserve">s for </w:t>
      </w:r>
      <w:r w:rsidR="001A711E" w:rsidRPr="003450F1">
        <w:rPr>
          <w:rStyle w:val="hps"/>
          <w:lang w:val="en"/>
        </w:rPr>
        <w:t xml:space="preserve">the right of the investigating judge to </w:t>
      </w:r>
      <w:r w:rsidRPr="003450F1">
        <w:rPr>
          <w:rStyle w:val="hps"/>
          <w:lang w:val="en"/>
        </w:rPr>
        <w:t>claim</w:t>
      </w:r>
      <w:r w:rsidR="001A711E" w:rsidRPr="003450F1">
        <w:rPr>
          <w:rStyle w:val="hps"/>
          <w:lang w:val="en"/>
        </w:rPr>
        <w:t xml:space="preserve"> </w:t>
      </w:r>
      <w:r w:rsidRPr="003450F1">
        <w:rPr>
          <w:rStyle w:val="hps"/>
          <w:lang w:val="en"/>
        </w:rPr>
        <w:t>the assistance of a technical expert</w:t>
      </w:r>
      <w:r w:rsidR="001A711E" w:rsidRPr="003450F1">
        <w:rPr>
          <w:rStyle w:val="hps"/>
          <w:lang w:val="en"/>
        </w:rPr>
        <w:t xml:space="preserve"> in case the data </w:t>
      </w:r>
      <w:r w:rsidRPr="003450F1">
        <w:rPr>
          <w:rStyle w:val="hps"/>
          <w:lang w:val="en"/>
        </w:rPr>
        <w:t xml:space="preserve">are protected or encrypted. Paragraph (5) concerns the written record of the </w:t>
      </w:r>
      <w:r w:rsidR="003E2F82" w:rsidRPr="003450F1">
        <w:rPr>
          <w:rStyle w:val="hps"/>
          <w:lang w:val="en"/>
        </w:rPr>
        <w:t xml:space="preserve">search and </w:t>
      </w:r>
      <w:r w:rsidRPr="003450F1">
        <w:rPr>
          <w:rStyle w:val="hps"/>
          <w:lang w:val="en"/>
        </w:rPr>
        <w:t xml:space="preserve">seizure procedure, which in principle must be signed by </w:t>
      </w:r>
      <w:r w:rsidR="003E2F82" w:rsidRPr="003450F1">
        <w:rPr>
          <w:rStyle w:val="hps"/>
          <w:lang w:val="en"/>
        </w:rPr>
        <w:t xml:space="preserve">the persons concerned by the </w:t>
      </w:r>
      <w:r w:rsidR="001A711E" w:rsidRPr="003450F1">
        <w:rPr>
          <w:rStyle w:val="hps"/>
          <w:lang w:val="en"/>
        </w:rPr>
        <w:t xml:space="preserve">search and </w:t>
      </w:r>
      <w:r w:rsidR="003E2F82" w:rsidRPr="003450F1">
        <w:rPr>
          <w:rStyle w:val="hps"/>
          <w:lang w:val="en"/>
        </w:rPr>
        <w:t xml:space="preserve">seizure. Finally, paragraph (6) determines that </w:t>
      </w:r>
      <w:r w:rsidR="001A711E" w:rsidRPr="003450F1">
        <w:rPr>
          <w:rStyle w:val="hps"/>
          <w:lang w:val="en"/>
        </w:rPr>
        <w:t>the seized objects</w:t>
      </w:r>
      <w:r w:rsidR="003E2F82" w:rsidRPr="003450F1">
        <w:rPr>
          <w:rStyle w:val="hps"/>
          <w:lang w:val="en"/>
        </w:rPr>
        <w:t xml:space="preserve"> have to be deposited at the court’s registry or kept by a </w:t>
      </w:r>
      <w:r w:rsidR="0026576D" w:rsidRPr="003450F1">
        <w:t>person with authority to sequester the objects</w:t>
      </w:r>
      <w:r w:rsidR="001A711E" w:rsidRPr="003450F1">
        <w:rPr>
          <w:rStyle w:val="hps"/>
          <w:lang w:val="en"/>
        </w:rPr>
        <w:t>.</w:t>
      </w:r>
    </w:p>
    <w:p w14:paraId="2DE5BA54" w14:textId="77777777" w:rsidR="00DB3026" w:rsidRPr="003450F1" w:rsidRDefault="00DB3026" w:rsidP="001A71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lang w:val="en"/>
        </w:rPr>
      </w:pPr>
    </w:p>
    <w:p w14:paraId="129CE140" w14:textId="77777777"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7. Are there any laws, policies or arrangements for the remuneration of costs incurred by ISPs when providing LEAs with requested data?</w:t>
      </w:r>
    </w:p>
    <w:p w14:paraId="3A55846F" w14:textId="359CBEFA" w:rsidR="005672FF" w:rsidRPr="003450F1" w:rsidRDefault="001A711E" w:rsidP="001A711E">
      <w:pPr>
        <w:pStyle w:val="Hoofdtekst"/>
        <w:jc w:val="both"/>
        <w:rPr>
          <w:rFonts w:ascii="Times New Roman" w:hAnsi="Times New Roman" w:cs="Times New Roman"/>
          <w:bCs/>
          <w:color w:val="auto"/>
          <w:sz w:val="24"/>
          <w:szCs w:val="24"/>
          <w:lang w:val="en-US"/>
        </w:rPr>
      </w:pPr>
      <w:r w:rsidRPr="003450F1">
        <w:rPr>
          <w:rFonts w:ascii="Times New Roman" w:hAnsi="Times New Roman" w:cs="Times New Roman"/>
          <w:bCs/>
          <w:color w:val="auto"/>
          <w:sz w:val="24"/>
          <w:szCs w:val="24"/>
          <w:lang w:val="en-US"/>
        </w:rPr>
        <w:t xml:space="preserve">There is </w:t>
      </w:r>
      <w:r w:rsidRPr="003450F1">
        <w:rPr>
          <w:rFonts w:ascii="Times New Roman" w:hAnsi="Times New Roman" w:cs="Times New Roman"/>
          <w:bCs/>
          <w:i/>
          <w:color w:val="auto"/>
          <w:sz w:val="24"/>
          <w:szCs w:val="24"/>
          <w:lang w:val="en-US"/>
        </w:rPr>
        <w:t xml:space="preserve">no </w:t>
      </w:r>
      <w:r w:rsidR="005672FF" w:rsidRPr="003450F1">
        <w:rPr>
          <w:rFonts w:ascii="Times New Roman" w:hAnsi="Times New Roman" w:cs="Times New Roman"/>
          <w:bCs/>
          <w:i/>
          <w:color w:val="auto"/>
          <w:sz w:val="24"/>
          <w:szCs w:val="24"/>
          <w:lang w:val="en-US"/>
        </w:rPr>
        <w:t xml:space="preserve">general </w:t>
      </w:r>
      <w:r w:rsidRPr="003450F1">
        <w:rPr>
          <w:rFonts w:ascii="Times New Roman" w:hAnsi="Times New Roman" w:cs="Times New Roman"/>
          <w:bCs/>
          <w:i/>
          <w:color w:val="auto"/>
          <w:sz w:val="24"/>
          <w:szCs w:val="24"/>
          <w:lang w:val="en-US"/>
        </w:rPr>
        <w:t>legal framework</w:t>
      </w:r>
      <w:r w:rsidRPr="003450F1">
        <w:rPr>
          <w:rFonts w:ascii="Times New Roman" w:hAnsi="Times New Roman" w:cs="Times New Roman"/>
          <w:bCs/>
          <w:color w:val="auto"/>
          <w:sz w:val="24"/>
          <w:szCs w:val="24"/>
          <w:lang w:val="en-US"/>
        </w:rPr>
        <w:t xml:space="preserve"> relating to the distribution of costs, but in practice the costs for the cooperation with law enforcement and judicial authorities are incurred by the </w:t>
      </w:r>
      <w:r w:rsidR="007E661D" w:rsidRPr="003450F1">
        <w:rPr>
          <w:rFonts w:ascii="Times New Roman" w:hAnsi="Times New Roman" w:cs="Times New Roman"/>
          <w:bCs/>
          <w:color w:val="auto"/>
          <w:sz w:val="24"/>
          <w:szCs w:val="24"/>
          <w:lang w:val="en-US"/>
        </w:rPr>
        <w:t>operators and service providers</w:t>
      </w:r>
      <w:r w:rsidRPr="003450F1">
        <w:rPr>
          <w:rFonts w:ascii="Times New Roman" w:hAnsi="Times New Roman" w:cs="Times New Roman"/>
          <w:bCs/>
          <w:color w:val="auto"/>
          <w:sz w:val="24"/>
          <w:szCs w:val="24"/>
          <w:lang w:val="en-US"/>
        </w:rPr>
        <w:t xml:space="preserve">. </w:t>
      </w:r>
      <w:r w:rsidR="005672FF" w:rsidRPr="003450F1">
        <w:rPr>
          <w:rFonts w:ascii="Times New Roman" w:hAnsi="Times New Roman" w:cs="Times New Roman"/>
          <w:bCs/>
          <w:i/>
          <w:color w:val="auto"/>
          <w:sz w:val="24"/>
          <w:szCs w:val="24"/>
          <w:lang w:val="en-US"/>
        </w:rPr>
        <w:t>However</w:t>
      </w:r>
      <w:r w:rsidR="005672FF" w:rsidRPr="003450F1">
        <w:rPr>
          <w:rFonts w:ascii="Times New Roman" w:hAnsi="Times New Roman" w:cs="Times New Roman"/>
          <w:bCs/>
          <w:color w:val="auto"/>
          <w:sz w:val="24"/>
          <w:szCs w:val="24"/>
          <w:lang w:val="en-US"/>
        </w:rPr>
        <w:t xml:space="preserve">, with respect to the </w:t>
      </w:r>
      <w:r w:rsidR="00460303" w:rsidRPr="003450F1">
        <w:rPr>
          <w:rFonts w:ascii="Times New Roman" w:hAnsi="Times New Roman" w:cs="Times New Roman"/>
          <w:bCs/>
          <w:color w:val="auto"/>
          <w:sz w:val="24"/>
          <w:szCs w:val="24"/>
          <w:lang w:val="en-US"/>
        </w:rPr>
        <w:t xml:space="preserve">interception and </w:t>
      </w:r>
      <w:r w:rsidR="005672FF" w:rsidRPr="003450F1">
        <w:rPr>
          <w:rFonts w:ascii="Times New Roman" w:hAnsi="Times New Roman" w:cs="Times New Roman"/>
          <w:bCs/>
          <w:color w:val="auto"/>
          <w:sz w:val="24"/>
          <w:szCs w:val="24"/>
          <w:lang w:val="en-US"/>
        </w:rPr>
        <w:t xml:space="preserve">surveillance of communications, Article 4 (2) of the Law of 27 February 2011 </w:t>
      </w:r>
      <w:r w:rsidR="005672FF" w:rsidRPr="003450F1">
        <w:rPr>
          <w:rFonts w:ascii="Times New Roman" w:hAnsi="Times New Roman" w:cs="Times New Roman"/>
          <w:bCs/>
          <w:sz w:val="24"/>
          <w:szCs w:val="24"/>
          <w:lang w:val="en-US"/>
        </w:rPr>
        <w:t>on electronic communications networks and services (</w:t>
      </w:r>
      <w:r w:rsidR="005672FF" w:rsidRPr="003450F1">
        <w:rPr>
          <w:rFonts w:ascii="Times New Roman" w:hAnsi="Times New Roman" w:cs="Times New Roman"/>
          <w:bCs/>
          <w:i/>
          <w:sz w:val="24"/>
          <w:szCs w:val="24"/>
          <w:lang w:val="en-US"/>
        </w:rPr>
        <w:t>supra</w:t>
      </w:r>
      <w:r w:rsidR="005672FF" w:rsidRPr="003450F1">
        <w:rPr>
          <w:rFonts w:ascii="Times New Roman" w:hAnsi="Times New Roman" w:cs="Times New Roman"/>
          <w:bCs/>
          <w:sz w:val="24"/>
          <w:szCs w:val="24"/>
          <w:lang w:val="en-US"/>
        </w:rPr>
        <w:t>, sub question 1) states</w:t>
      </w:r>
      <w:r w:rsidR="007E661D" w:rsidRPr="003450F1">
        <w:rPr>
          <w:rFonts w:ascii="Times New Roman" w:hAnsi="Times New Roman" w:cs="Times New Roman"/>
          <w:bCs/>
          <w:sz w:val="24"/>
          <w:szCs w:val="24"/>
          <w:lang w:val="en-US"/>
        </w:rPr>
        <w:t xml:space="preserve"> explicitly</w:t>
      </w:r>
      <w:r w:rsidR="005672FF" w:rsidRPr="003450F1">
        <w:rPr>
          <w:rFonts w:ascii="Times New Roman" w:hAnsi="Times New Roman" w:cs="Times New Roman"/>
          <w:bCs/>
          <w:sz w:val="24"/>
          <w:szCs w:val="24"/>
          <w:lang w:val="en-US"/>
        </w:rPr>
        <w:t xml:space="preserve"> that the operators and providers of electronic communications services provide the competent authorities, automatically and free of charge, with the technical data and means they need to be able to perform their surveillance tasks.</w:t>
      </w:r>
    </w:p>
    <w:p w14:paraId="43744954" w14:textId="77777777" w:rsidR="005672FF" w:rsidRPr="003450F1" w:rsidRDefault="005672FF" w:rsidP="001A711E">
      <w:pPr>
        <w:pStyle w:val="Hoofdtekst"/>
        <w:jc w:val="both"/>
        <w:rPr>
          <w:rFonts w:ascii="Times New Roman" w:hAnsi="Times New Roman" w:cs="Times New Roman"/>
          <w:bCs/>
          <w:color w:val="auto"/>
          <w:sz w:val="24"/>
          <w:szCs w:val="24"/>
          <w:lang w:val="en-US"/>
        </w:rPr>
      </w:pPr>
    </w:p>
    <w:p w14:paraId="277A0D6C" w14:textId="05712F3F" w:rsidR="001A711E" w:rsidRPr="003450F1" w:rsidRDefault="005672FF" w:rsidP="001A711E">
      <w:pPr>
        <w:pStyle w:val="Hoofdtekst"/>
        <w:jc w:val="both"/>
        <w:rPr>
          <w:rFonts w:ascii="Times New Roman" w:hAnsi="Times New Roman" w:cs="Times New Roman"/>
          <w:bCs/>
          <w:color w:val="auto"/>
          <w:sz w:val="24"/>
          <w:szCs w:val="24"/>
          <w:lang w:val="en-US"/>
        </w:rPr>
      </w:pPr>
      <w:r w:rsidRPr="003450F1">
        <w:rPr>
          <w:rFonts w:ascii="Times New Roman" w:hAnsi="Times New Roman" w:cs="Times New Roman"/>
          <w:bCs/>
          <w:color w:val="auto"/>
          <w:sz w:val="24"/>
          <w:szCs w:val="24"/>
          <w:lang w:val="en-US"/>
        </w:rPr>
        <w:t xml:space="preserve">The fact that private actors bear the costs of their cooperation with the public authorities </w:t>
      </w:r>
      <w:r w:rsidR="001A711E" w:rsidRPr="003450F1">
        <w:rPr>
          <w:rFonts w:ascii="Times New Roman" w:hAnsi="Times New Roman" w:cs="Times New Roman"/>
          <w:bCs/>
          <w:color w:val="auto"/>
          <w:sz w:val="24"/>
          <w:szCs w:val="24"/>
          <w:lang w:val="en-US"/>
        </w:rPr>
        <w:t xml:space="preserve">does not give rise to </w:t>
      </w:r>
      <w:r w:rsidRPr="003450F1">
        <w:rPr>
          <w:rFonts w:ascii="Times New Roman" w:hAnsi="Times New Roman" w:cs="Times New Roman"/>
          <w:bCs/>
          <w:color w:val="auto"/>
          <w:sz w:val="24"/>
          <w:szCs w:val="24"/>
          <w:lang w:val="en-US"/>
        </w:rPr>
        <w:t>much debate in Luxembourg</w:t>
      </w:r>
      <w:r w:rsidR="00910B80" w:rsidRPr="003450F1">
        <w:rPr>
          <w:rFonts w:ascii="Times New Roman" w:hAnsi="Times New Roman" w:cs="Times New Roman"/>
          <w:bCs/>
          <w:color w:val="auto"/>
          <w:sz w:val="24"/>
          <w:szCs w:val="24"/>
          <w:lang w:val="en-US"/>
        </w:rPr>
        <w:t>, at least</w:t>
      </w:r>
      <w:r w:rsidR="00F07A13" w:rsidRPr="003450F1">
        <w:rPr>
          <w:rFonts w:ascii="Times New Roman" w:hAnsi="Times New Roman" w:cs="Times New Roman"/>
          <w:bCs/>
          <w:color w:val="auto"/>
          <w:sz w:val="24"/>
          <w:szCs w:val="24"/>
          <w:lang w:val="en-US"/>
        </w:rPr>
        <w:t xml:space="preserve"> not as of yet</w:t>
      </w:r>
      <w:r w:rsidRPr="003450F1">
        <w:rPr>
          <w:rFonts w:ascii="Times New Roman" w:hAnsi="Times New Roman" w:cs="Times New Roman"/>
          <w:bCs/>
          <w:color w:val="auto"/>
          <w:sz w:val="24"/>
          <w:szCs w:val="24"/>
          <w:lang w:val="en-US"/>
        </w:rPr>
        <w:t>. I</w:t>
      </w:r>
      <w:r w:rsidR="001A711E" w:rsidRPr="003450F1">
        <w:rPr>
          <w:rFonts w:ascii="Times New Roman" w:hAnsi="Times New Roman" w:cs="Times New Roman"/>
          <w:bCs/>
          <w:color w:val="auto"/>
          <w:sz w:val="24"/>
          <w:szCs w:val="24"/>
          <w:lang w:val="en-US"/>
        </w:rPr>
        <w:t xml:space="preserve">t is </w:t>
      </w:r>
      <w:r w:rsidR="00910B80" w:rsidRPr="003450F1">
        <w:rPr>
          <w:rFonts w:ascii="Times New Roman" w:hAnsi="Times New Roman" w:cs="Times New Roman"/>
          <w:bCs/>
          <w:color w:val="auto"/>
          <w:sz w:val="24"/>
          <w:szCs w:val="24"/>
          <w:lang w:val="en-US"/>
        </w:rPr>
        <w:t xml:space="preserve">indeed </w:t>
      </w:r>
      <w:r w:rsidR="001A711E" w:rsidRPr="003450F1">
        <w:rPr>
          <w:rFonts w:ascii="Times New Roman" w:hAnsi="Times New Roman" w:cs="Times New Roman"/>
          <w:bCs/>
          <w:color w:val="auto"/>
          <w:sz w:val="24"/>
          <w:szCs w:val="24"/>
          <w:lang w:val="en-US"/>
        </w:rPr>
        <w:t>genuinely accepted that these costs are a part of doing business in Luxembourg.</w:t>
      </w:r>
      <w:r w:rsidRPr="003450F1">
        <w:rPr>
          <w:rFonts w:ascii="Times New Roman" w:hAnsi="Times New Roman" w:cs="Times New Roman"/>
          <w:bCs/>
          <w:color w:val="auto"/>
          <w:sz w:val="24"/>
          <w:szCs w:val="24"/>
          <w:lang w:val="en-US"/>
        </w:rPr>
        <w:t xml:space="preserve"> That being said, </w:t>
      </w:r>
      <w:r w:rsidR="00547E9A" w:rsidRPr="003450F1">
        <w:rPr>
          <w:rFonts w:ascii="Times New Roman" w:hAnsi="Times New Roman" w:cs="Times New Roman"/>
          <w:bCs/>
          <w:color w:val="auto"/>
          <w:sz w:val="24"/>
          <w:szCs w:val="24"/>
          <w:lang w:val="en-US"/>
        </w:rPr>
        <w:t xml:space="preserve">during the legislative debate leading up to the adoption of the Law of 30 May 2005 </w:t>
      </w:r>
      <w:r w:rsidR="00547E9A" w:rsidRPr="003450F1">
        <w:rPr>
          <w:rFonts w:ascii="Times New Roman" w:hAnsi="Times New Roman" w:cs="Times New Roman"/>
          <w:bCs/>
          <w:sz w:val="24"/>
          <w:szCs w:val="24"/>
          <w:lang w:val="en-US"/>
        </w:rPr>
        <w:t xml:space="preserve">on electronic communications </w:t>
      </w:r>
      <w:r w:rsidR="00547E9A" w:rsidRPr="003450F1">
        <w:rPr>
          <w:rFonts w:ascii="Times New Roman" w:hAnsi="Times New Roman" w:cs="Times New Roman"/>
          <w:bCs/>
          <w:sz w:val="24"/>
          <w:szCs w:val="24"/>
          <w:lang w:val="en-US"/>
        </w:rPr>
        <w:lastRenderedPageBreak/>
        <w:t>networks and services,</w:t>
      </w:r>
      <w:r w:rsidR="001D4B24" w:rsidRPr="003450F1">
        <w:rPr>
          <w:rStyle w:val="Odwoanieprzypisudolnego"/>
          <w:rFonts w:ascii="Times New Roman" w:hAnsi="Times New Roman" w:cs="Times New Roman"/>
          <w:bCs/>
          <w:sz w:val="24"/>
          <w:szCs w:val="24"/>
          <w:lang w:val="en-US"/>
        </w:rPr>
        <w:footnoteReference w:id="83"/>
      </w:r>
      <w:r w:rsidR="00547E9A" w:rsidRPr="003450F1">
        <w:rPr>
          <w:rFonts w:ascii="Times New Roman" w:hAnsi="Times New Roman" w:cs="Times New Roman"/>
          <w:bCs/>
          <w:sz w:val="24"/>
          <w:szCs w:val="24"/>
          <w:lang w:val="en-US"/>
        </w:rPr>
        <w:t xml:space="preserve"> which introduced the aforementioned obligation of operator and service providers to cooperate, </w:t>
      </w:r>
      <w:r w:rsidR="00910B80" w:rsidRPr="003450F1">
        <w:rPr>
          <w:rFonts w:ascii="Times New Roman" w:hAnsi="Times New Roman" w:cs="Times New Roman"/>
          <w:bCs/>
          <w:sz w:val="24"/>
          <w:szCs w:val="24"/>
          <w:lang w:val="en-US"/>
        </w:rPr>
        <w:t>free of charge</w:t>
      </w:r>
      <w:r w:rsidR="00547E9A" w:rsidRPr="003450F1">
        <w:rPr>
          <w:rFonts w:ascii="Times New Roman" w:hAnsi="Times New Roman" w:cs="Times New Roman"/>
          <w:bCs/>
          <w:sz w:val="24"/>
          <w:szCs w:val="24"/>
          <w:lang w:val="en-US"/>
        </w:rPr>
        <w:t xml:space="preserve">, with the authorities in case of surveillance measures, the Chamber of Commerce did highlight that </w:t>
      </w:r>
      <w:r w:rsidR="00F07A13" w:rsidRPr="003450F1">
        <w:rPr>
          <w:rFonts w:ascii="Times New Roman" w:hAnsi="Times New Roman" w:cs="Times New Roman"/>
          <w:bCs/>
          <w:sz w:val="24"/>
          <w:szCs w:val="24"/>
          <w:lang w:val="en-US"/>
        </w:rPr>
        <w:t xml:space="preserve">the </w:t>
      </w:r>
      <w:r w:rsidR="00547E9A" w:rsidRPr="003450F1">
        <w:rPr>
          <w:rFonts w:ascii="Times New Roman" w:hAnsi="Times New Roman" w:cs="Times New Roman"/>
          <w:bCs/>
          <w:sz w:val="24"/>
          <w:szCs w:val="24"/>
          <w:lang w:val="en-US"/>
        </w:rPr>
        <w:t xml:space="preserve">free cooperation obligation is not </w:t>
      </w:r>
      <w:r w:rsidR="00910B80" w:rsidRPr="003450F1">
        <w:rPr>
          <w:rFonts w:ascii="Times New Roman" w:hAnsi="Times New Roman" w:cs="Times New Roman"/>
          <w:bCs/>
          <w:sz w:val="24"/>
          <w:szCs w:val="24"/>
          <w:lang w:val="en-US"/>
        </w:rPr>
        <w:t>required under EU law and that it w</w:t>
      </w:r>
      <w:r w:rsidR="00547E9A" w:rsidRPr="003450F1">
        <w:rPr>
          <w:rFonts w:ascii="Times New Roman" w:hAnsi="Times New Roman" w:cs="Times New Roman"/>
          <w:bCs/>
          <w:sz w:val="24"/>
          <w:szCs w:val="24"/>
          <w:lang w:val="en-US"/>
        </w:rPr>
        <w:t>ould risk to create a competitive disadvantage for operators and</w:t>
      </w:r>
      <w:r w:rsidR="00910B80" w:rsidRPr="003450F1">
        <w:rPr>
          <w:rFonts w:ascii="Times New Roman" w:hAnsi="Times New Roman" w:cs="Times New Roman"/>
          <w:bCs/>
          <w:sz w:val="24"/>
          <w:szCs w:val="24"/>
          <w:lang w:val="en-US"/>
        </w:rPr>
        <w:t xml:space="preserve"> businesses in Luxembourg.</w:t>
      </w:r>
      <w:r w:rsidR="00910B80" w:rsidRPr="003450F1">
        <w:rPr>
          <w:rStyle w:val="Odwoanieprzypisudolnego"/>
          <w:rFonts w:ascii="Times New Roman" w:hAnsi="Times New Roman" w:cs="Times New Roman"/>
          <w:bCs/>
          <w:sz w:val="24"/>
          <w:szCs w:val="24"/>
          <w:lang w:val="en-US"/>
        </w:rPr>
        <w:footnoteReference w:id="84"/>
      </w:r>
      <w:r w:rsidR="004660FC" w:rsidRPr="003450F1">
        <w:rPr>
          <w:rFonts w:ascii="Times New Roman" w:hAnsi="Times New Roman" w:cs="Times New Roman"/>
          <w:bCs/>
          <w:sz w:val="24"/>
          <w:szCs w:val="24"/>
          <w:lang w:val="en-US"/>
        </w:rPr>
        <w:t xml:space="preserve"> This argument did, however, not convince the legislator.</w:t>
      </w:r>
    </w:p>
    <w:p w14:paraId="1061B26B" w14:textId="77777777" w:rsidR="001A711E" w:rsidRPr="003450F1" w:rsidRDefault="001A711E" w:rsidP="001A711E">
      <w:pPr>
        <w:pStyle w:val="Hoofdtekst"/>
        <w:spacing w:after="120"/>
        <w:jc w:val="both"/>
        <w:rPr>
          <w:rFonts w:ascii="Times New Roman" w:hAnsi="Times New Roman" w:cs="Times New Roman"/>
          <w:b/>
          <w:bCs/>
          <w:color w:val="auto"/>
          <w:sz w:val="24"/>
          <w:szCs w:val="24"/>
          <w:lang w:val="en-US"/>
        </w:rPr>
      </w:pPr>
    </w:p>
    <w:p w14:paraId="0F065F9B" w14:textId="622E36D6" w:rsidR="001A711E" w:rsidRPr="003450F1" w:rsidRDefault="001A711E" w:rsidP="001A711E">
      <w:pPr>
        <w:pStyle w:val="Hoofdtekst"/>
        <w:spacing w:after="120"/>
        <w:jc w:val="both"/>
        <w:rPr>
          <w:rFonts w:ascii="Times New Roman" w:hAnsi="Times New Roman" w:cs="Times New Roman"/>
          <w:b/>
          <w:color w:val="808080" w:themeColor="background1" w:themeShade="80"/>
          <w:sz w:val="24"/>
          <w:szCs w:val="24"/>
          <w:lang w:val="en-US"/>
        </w:rPr>
      </w:pPr>
      <w:r w:rsidRPr="003450F1">
        <w:rPr>
          <w:rFonts w:ascii="Times New Roman" w:hAnsi="Times New Roman" w:cs="Times New Roman"/>
          <w:b/>
          <w:color w:val="808080" w:themeColor="background1" w:themeShade="80"/>
          <w:sz w:val="24"/>
          <w:szCs w:val="24"/>
          <w:lang w:val="en-US"/>
        </w:rPr>
        <w:t>8. What are the legal regulations concerning taking down and blocking illegal content on the internet before start of criminal proceedings and during criminal proceedings (powers of law enforcement and powers and obligation of service providers), what problems of taking down and blocking could be indicated ?</w:t>
      </w:r>
    </w:p>
    <w:p w14:paraId="3DCAB699" w14:textId="21FA9D5D" w:rsidR="004660FC" w:rsidRPr="003450F1" w:rsidRDefault="00D328E2"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 xml:space="preserve">In 2013 </w:t>
      </w:r>
      <w:r w:rsidR="0018277A" w:rsidRPr="003450F1">
        <w:rPr>
          <w:rFonts w:ascii="Times New Roman" w:hAnsi="Times New Roman" w:cs="Times New Roman"/>
          <w:bCs/>
          <w:sz w:val="24"/>
          <w:szCs w:val="24"/>
          <w:lang w:val="en-US"/>
        </w:rPr>
        <w:t>Luxembourg implemented</w:t>
      </w:r>
      <w:r w:rsidR="005756C8" w:rsidRPr="003450F1">
        <w:rPr>
          <w:rStyle w:val="Odwoanieprzypisudolnego"/>
          <w:rFonts w:ascii="Times New Roman" w:hAnsi="Times New Roman" w:cs="Times New Roman"/>
          <w:bCs/>
          <w:sz w:val="24"/>
          <w:szCs w:val="24"/>
          <w:lang w:val="en-US"/>
        </w:rPr>
        <w:footnoteReference w:id="85"/>
      </w:r>
      <w:r w:rsidR="0018277A" w:rsidRPr="003450F1">
        <w:rPr>
          <w:rFonts w:ascii="Times New Roman" w:hAnsi="Times New Roman" w:cs="Times New Roman"/>
          <w:bCs/>
          <w:sz w:val="24"/>
          <w:szCs w:val="24"/>
          <w:lang w:val="en-US"/>
        </w:rPr>
        <w:t xml:space="preserve"> the Directive 2011/92/EU of 13 December 2011 on combating the sexual abuse and sexual exploitati</w:t>
      </w:r>
      <w:r w:rsidR="00654DF3" w:rsidRPr="003450F1">
        <w:rPr>
          <w:rFonts w:ascii="Times New Roman" w:hAnsi="Times New Roman" w:cs="Times New Roman"/>
          <w:bCs/>
          <w:sz w:val="24"/>
          <w:szCs w:val="24"/>
          <w:lang w:val="en-US"/>
        </w:rPr>
        <w:t>on of children and child pornography, and replacing Council Framework Decision 2004/68/JHA</w:t>
      </w:r>
      <w:r w:rsidRPr="003450F1">
        <w:rPr>
          <w:rFonts w:ascii="Times New Roman" w:hAnsi="Times New Roman" w:cs="Times New Roman"/>
          <w:bCs/>
          <w:sz w:val="24"/>
          <w:szCs w:val="24"/>
          <w:lang w:val="en-US"/>
        </w:rPr>
        <w:t>.</w:t>
      </w:r>
      <w:r w:rsidR="005756C8" w:rsidRPr="003450F1">
        <w:rPr>
          <w:rStyle w:val="Odwoanieprzypisudolnego"/>
          <w:rFonts w:ascii="Times New Roman" w:hAnsi="Times New Roman" w:cs="Times New Roman"/>
          <w:bCs/>
          <w:sz w:val="24"/>
          <w:szCs w:val="24"/>
          <w:lang w:val="en-US"/>
        </w:rPr>
        <w:footnoteReference w:id="86"/>
      </w:r>
      <w:r w:rsidR="0018277A" w:rsidRPr="003450F1">
        <w:rPr>
          <w:rFonts w:ascii="Times New Roman" w:hAnsi="Times New Roman" w:cs="Times New Roman"/>
          <w:bCs/>
          <w:sz w:val="24"/>
          <w:szCs w:val="24"/>
          <w:lang w:val="en-US"/>
        </w:rPr>
        <w:t xml:space="preserve"> </w:t>
      </w:r>
      <w:r w:rsidRPr="003450F1">
        <w:rPr>
          <w:rFonts w:ascii="Times New Roman" w:hAnsi="Times New Roman" w:cs="Times New Roman"/>
          <w:bCs/>
          <w:sz w:val="24"/>
          <w:szCs w:val="24"/>
          <w:lang w:val="en-US"/>
        </w:rPr>
        <w:t xml:space="preserve">However, it </w:t>
      </w:r>
      <w:r w:rsidR="007024DD" w:rsidRPr="003450F1">
        <w:rPr>
          <w:rFonts w:ascii="Times New Roman" w:hAnsi="Times New Roman" w:cs="Times New Roman"/>
          <w:bCs/>
          <w:sz w:val="24"/>
          <w:szCs w:val="24"/>
          <w:lang w:val="en-US"/>
        </w:rPr>
        <w:t>did not</w:t>
      </w:r>
      <w:r w:rsidR="0018277A" w:rsidRPr="003450F1">
        <w:rPr>
          <w:rFonts w:ascii="Times New Roman" w:hAnsi="Times New Roman" w:cs="Times New Roman"/>
          <w:bCs/>
          <w:sz w:val="24"/>
          <w:szCs w:val="24"/>
          <w:lang w:val="en-US"/>
        </w:rPr>
        <w:t xml:space="preserve"> transpose </w:t>
      </w:r>
      <w:r w:rsidR="007024DD" w:rsidRPr="003450F1">
        <w:rPr>
          <w:rFonts w:ascii="Times New Roman" w:hAnsi="Times New Roman" w:cs="Times New Roman"/>
          <w:bCs/>
          <w:sz w:val="24"/>
          <w:szCs w:val="24"/>
          <w:lang w:val="en-US"/>
        </w:rPr>
        <w:t xml:space="preserve">the </w:t>
      </w:r>
      <w:r w:rsidR="0018277A" w:rsidRPr="003450F1">
        <w:rPr>
          <w:rFonts w:ascii="Times New Roman" w:hAnsi="Times New Roman" w:cs="Times New Roman"/>
          <w:bCs/>
          <w:sz w:val="24"/>
          <w:szCs w:val="24"/>
          <w:lang w:val="en-US"/>
        </w:rPr>
        <w:t>provisi</w:t>
      </w:r>
      <w:r w:rsidR="006B0842" w:rsidRPr="003450F1">
        <w:rPr>
          <w:rFonts w:ascii="Times New Roman" w:hAnsi="Times New Roman" w:cs="Times New Roman"/>
          <w:bCs/>
          <w:sz w:val="24"/>
          <w:szCs w:val="24"/>
          <w:lang w:val="en-US"/>
        </w:rPr>
        <w:t>ons</w:t>
      </w:r>
      <w:r w:rsidR="0018277A" w:rsidRPr="003450F1">
        <w:rPr>
          <w:rFonts w:ascii="Times New Roman" w:hAnsi="Times New Roman" w:cs="Times New Roman"/>
          <w:bCs/>
          <w:sz w:val="24"/>
          <w:szCs w:val="24"/>
          <w:lang w:val="en-US"/>
        </w:rPr>
        <w:t xml:space="preserve"> on blocking illegal content and taking down websites</w:t>
      </w:r>
      <w:r w:rsidR="006B0842" w:rsidRPr="003450F1">
        <w:rPr>
          <w:rFonts w:ascii="Times New Roman" w:hAnsi="Times New Roman" w:cs="Times New Roman"/>
          <w:bCs/>
          <w:sz w:val="24"/>
          <w:szCs w:val="24"/>
          <w:lang w:val="en-US"/>
        </w:rPr>
        <w:t xml:space="preserve"> (in particular Article 25 (1) and (2) of the Directive)</w:t>
      </w:r>
      <w:r w:rsidR="007024DD" w:rsidRPr="003450F1">
        <w:rPr>
          <w:rFonts w:ascii="Times New Roman" w:hAnsi="Times New Roman" w:cs="Times New Roman"/>
          <w:bCs/>
          <w:sz w:val="24"/>
          <w:szCs w:val="24"/>
          <w:lang w:val="en-US"/>
        </w:rPr>
        <w:t xml:space="preserve"> as it was argued </w:t>
      </w:r>
      <w:r w:rsidR="00F07A13" w:rsidRPr="003450F1">
        <w:rPr>
          <w:rFonts w:ascii="Times New Roman" w:hAnsi="Times New Roman" w:cs="Times New Roman"/>
          <w:bCs/>
          <w:sz w:val="24"/>
          <w:szCs w:val="24"/>
          <w:lang w:val="en-US"/>
        </w:rPr>
        <w:t xml:space="preserve">that it was </w:t>
      </w:r>
      <w:r w:rsidR="007024DD" w:rsidRPr="003450F1">
        <w:rPr>
          <w:rFonts w:ascii="Times New Roman" w:hAnsi="Times New Roman" w:cs="Times New Roman"/>
          <w:bCs/>
          <w:sz w:val="24"/>
          <w:szCs w:val="24"/>
          <w:lang w:val="en-US"/>
        </w:rPr>
        <w:t>unnecessary</w:t>
      </w:r>
      <w:r w:rsidR="0018277A" w:rsidRPr="003450F1">
        <w:rPr>
          <w:rFonts w:ascii="Times New Roman" w:hAnsi="Times New Roman" w:cs="Times New Roman"/>
          <w:bCs/>
          <w:sz w:val="24"/>
          <w:szCs w:val="24"/>
          <w:lang w:val="en-US"/>
        </w:rPr>
        <w:t>.</w:t>
      </w:r>
      <w:r w:rsidR="006B0842" w:rsidRPr="003450F1">
        <w:rPr>
          <w:rFonts w:ascii="Times New Roman" w:hAnsi="Times New Roman" w:cs="Times New Roman"/>
          <w:bCs/>
          <w:sz w:val="24"/>
          <w:szCs w:val="24"/>
          <w:lang w:val="en-US"/>
        </w:rPr>
        <w:t xml:space="preserve"> </w:t>
      </w:r>
    </w:p>
    <w:p w14:paraId="4931D293" w14:textId="3ACC00EA" w:rsidR="004660FC" w:rsidRPr="003450F1" w:rsidRDefault="006B0842"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 xml:space="preserve">As </w:t>
      </w:r>
      <w:r w:rsidR="006E04D4" w:rsidRPr="003450F1">
        <w:rPr>
          <w:rFonts w:ascii="Times New Roman" w:hAnsi="Times New Roman" w:cs="Times New Roman"/>
          <w:bCs/>
          <w:sz w:val="24"/>
          <w:szCs w:val="24"/>
          <w:lang w:val="en-US"/>
        </w:rPr>
        <w:t xml:space="preserve">far as </w:t>
      </w:r>
      <w:r w:rsidRPr="003450F1">
        <w:rPr>
          <w:rFonts w:ascii="Times New Roman" w:hAnsi="Times New Roman" w:cs="Times New Roman"/>
          <w:bCs/>
          <w:sz w:val="24"/>
          <w:szCs w:val="24"/>
          <w:lang w:val="en-US"/>
        </w:rPr>
        <w:t xml:space="preserve">the </w:t>
      </w:r>
      <w:r w:rsidR="006E04D4" w:rsidRPr="003450F1">
        <w:rPr>
          <w:rFonts w:ascii="Times New Roman" w:hAnsi="Times New Roman" w:cs="Times New Roman"/>
          <w:bCs/>
          <w:i/>
          <w:sz w:val="24"/>
          <w:szCs w:val="24"/>
          <w:lang w:val="en-US"/>
        </w:rPr>
        <w:t>removal</w:t>
      </w:r>
      <w:r w:rsidR="006E04D4" w:rsidRPr="003450F1">
        <w:rPr>
          <w:rFonts w:ascii="Times New Roman" w:hAnsi="Times New Roman" w:cs="Times New Roman"/>
          <w:bCs/>
          <w:sz w:val="24"/>
          <w:szCs w:val="24"/>
          <w:lang w:val="en-US"/>
        </w:rPr>
        <w:t xml:space="preserve"> of web pages containing or disseminating child pornography is concerned, </w:t>
      </w:r>
      <w:r w:rsidRPr="003450F1">
        <w:rPr>
          <w:rFonts w:ascii="Times New Roman" w:hAnsi="Times New Roman" w:cs="Times New Roman"/>
          <w:bCs/>
          <w:sz w:val="24"/>
          <w:szCs w:val="24"/>
          <w:lang w:val="en-US"/>
        </w:rPr>
        <w:t xml:space="preserve">the parliamentary documents </w:t>
      </w:r>
      <w:r w:rsidR="006E04D4" w:rsidRPr="003450F1">
        <w:rPr>
          <w:rFonts w:ascii="Times New Roman" w:hAnsi="Times New Roman" w:cs="Times New Roman"/>
          <w:bCs/>
          <w:sz w:val="24"/>
          <w:szCs w:val="24"/>
          <w:lang w:val="en-US"/>
        </w:rPr>
        <w:t>of the Law of 21 February 2013 point</w:t>
      </w:r>
      <w:r w:rsidR="004660FC" w:rsidRPr="003450F1">
        <w:rPr>
          <w:rFonts w:ascii="Times New Roman" w:hAnsi="Times New Roman" w:cs="Times New Roman"/>
          <w:bCs/>
          <w:sz w:val="24"/>
          <w:szCs w:val="24"/>
          <w:lang w:val="en-US"/>
        </w:rPr>
        <w:t>ed</w:t>
      </w:r>
      <w:r w:rsidR="006E04D4" w:rsidRPr="003450F1">
        <w:rPr>
          <w:rFonts w:ascii="Times New Roman" w:hAnsi="Times New Roman" w:cs="Times New Roman"/>
          <w:bCs/>
          <w:sz w:val="24"/>
          <w:szCs w:val="24"/>
          <w:lang w:val="en-US"/>
        </w:rPr>
        <w:t xml:space="preserve"> out </w:t>
      </w:r>
      <w:r w:rsidRPr="003450F1">
        <w:rPr>
          <w:rFonts w:ascii="Times New Roman" w:hAnsi="Times New Roman" w:cs="Times New Roman"/>
          <w:bCs/>
          <w:sz w:val="24"/>
          <w:szCs w:val="24"/>
          <w:lang w:val="en-US"/>
        </w:rPr>
        <w:t xml:space="preserve">that </w:t>
      </w:r>
      <w:r w:rsidR="004660FC" w:rsidRPr="003450F1">
        <w:rPr>
          <w:rFonts w:ascii="Times New Roman" w:hAnsi="Times New Roman" w:cs="Times New Roman"/>
          <w:bCs/>
          <w:sz w:val="24"/>
          <w:szCs w:val="24"/>
          <w:lang w:val="en-US"/>
        </w:rPr>
        <w:t>such a measure wa</w:t>
      </w:r>
      <w:r w:rsidR="006E04D4" w:rsidRPr="003450F1">
        <w:rPr>
          <w:rFonts w:ascii="Times New Roman" w:hAnsi="Times New Roman" w:cs="Times New Roman"/>
          <w:bCs/>
          <w:sz w:val="24"/>
          <w:szCs w:val="24"/>
          <w:lang w:val="en-US"/>
        </w:rPr>
        <w:t>s already possible based on the existing provisions regarding seizure.</w:t>
      </w:r>
      <w:r w:rsidR="00431EB9" w:rsidRPr="003450F1">
        <w:rPr>
          <w:rStyle w:val="Odwoanieprzypisudolnego"/>
          <w:rFonts w:ascii="Times New Roman" w:hAnsi="Times New Roman" w:cs="Times New Roman"/>
          <w:bCs/>
          <w:sz w:val="24"/>
          <w:szCs w:val="24"/>
          <w:lang w:val="en-US"/>
        </w:rPr>
        <w:footnoteReference w:id="87"/>
      </w:r>
      <w:r w:rsidR="006E04D4" w:rsidRPr="003450F1">
        <w:rPr>
          <w:rFonts w:ascii="Times New Roman" w:hAnsi="Times New Roman" w:cs="Times New Roman"/>
          <w:bCs/>
          <w:sz w:val="24"/>
          <w:szCs w:val="24"/>
          <w:lang w:val="en-US"/>
        </w:rPr>
        <w:t xml:space="preserve"> In accordance with A</w:t>
      </w:r>
      <w:r w:rsidRPr="003450F1">
        <w:rPr>
          <w:rFonts w:ascii="Times New Roman" w:hAnsi="Times New Roman" w:cs="Times New Roman"/>
          <w:bCs/>
          <w:sz w:val="24"/>
          <w:szCs w:val="24"/>
          <w:lang w:val="en-US"/>
        </w:rPr>
        <w:t>rticle 31</w:t>
      </w:r>
      <w:r w:rsidR="006E04D4" w:rsidRPr="003450F1">
        <w:rPr>
          <w:rFonts w:ascii="Times New Roman" w:hAnsi="Times New Roman" w:cs="Times New Roman"/>
          <w:bCs/>
          <w:sz w:val="24"/>
          <w:szCs w:val="24"/>
          <w:lang w:val="en-US"/>
        </w:rPr>
        <w:t xml:space="preserve"> (3) </w:t>
      </w:r>
      <w:r w:rsidR="00431EB9" w:rsidRPr="003450F1">
        <w:rPr>
          <w:rFonts w:ascii="Times New Roman" w:hAnsi="Times New Roman" w:cs="Times New Roman"/>
          <w:bCs/>
          <w:sz w:val="24"/>
          <w:szCs w:val="24"/>
          <w:lang w:val="en-US"/>
        </w:rPr>
        <w:t xml:space="preserve">of the </w:t>
      </w:r>
      <w:r w:rsidRPr="003450F1">
        <w:rPr>
          <w:rFonts w:ascii="Times New Roman" w:hAnsi="Times New Roman" w:cs="Times New Roman"/>
          <w:bCs/>
          <w:sz w:val="24"/>
          <w:szCs w:val="24"/>
          <w:lang w:val="en-US"/>
        </w:rPr>
        <w:t>Code of Criminal Procedure</w:t>
      </w:r>
      <w:r w:rsidR="0056189B" w:rsidRPr="003450F1">
        <w:rPr>
          <w:rFonts w:ascii="Times New Roman" w:hAnsi="Times New Roman" w:cs="Times New Roman"/>
          <w:bCs/>
          <w:sz w:val="24"/>
          <w:szCs w:val="24"/>
          <w:lang w:val="en-US"/>
        </w:rPr>
        <w:t xml:space="preserve"> (as applicable in 2013)</w:t>
      </w:r>
      <w:r w:rsidR="00A83C12" w:rsidRPr="003450F1">
        <w:rPr>
          <w:rFonts w:ascii="Times New Roman" w:hAnsi="Times New Roman" w:cs="Times New Roman"/>
          <w:bCs/>
          <w:sz w:val="24"/>
          <w:szCs w:val="24"/>
          <w:lang w:val="en-US"/>
        </w:rPr>
        <w:t>,</w:t>
      </w:r>
      <w:r w:rsidR="006E04D4" w:rsidRPr="003450F1">
        <w:rPr>
          <w:rFonts w:ascii="Times New Roman" w:hAnsi="Times New Roman" w:cs="Times New Roman"/>
          <w:bCs/>
          <w:sz w:val="24"/>
          <w:szCs w:val="24"/>
          <w:lang w:val="en-US"/>
        </w:rPr>
        <w:t xml:space="preserve"> </w:t>
      </w:r>
      <w:r w:rsidR="00A83C12" w:rsidRPr="003450F1">
        <w:rPr>
          <w:rFonts w:ascii="Times New Roman" w:hAnsi="Times New Roman" w:cs="Times New Roman"/>
          <w:bCs/>
          <w:sz w:val="24"/>
          <w:szCs w:val="24"/>
          <w:lang w:val="en-US"/>
        </w:rPr>
        <w:t>which applie</w:t>
      </w:r>
      <w:r w:rsidR="004660FC" w:rsidRPr="003450F1">
        <w:rPr>
          <w:rFonts w:ascii="Times New Roman" w:hAnsi="Times New Roman" w:cs="Times New Roman"/>
          <w:bCs/>
          <w:sz w:val="24"/>
          <w:szCs w:val="24"/>
          <w:lang w:val="en-US"/>
        </w:rPr>
        <w:t>s to cases where the offender i</w:t>
      </w:r>
      <w:r w:rsidR="00A83C12" w:rsidRPr="003450F1">
        <w:rPr>
          <w:rFonts w:ascii="Times New Roman" w:hAnsi="Times New Roman" w:cs="Times New Roman"/>
          <w:bCs/>
          <w:sz w:val="24"/>
          <w:szCs w:val="24"/>
          <w:lang w:val="en-US"/>
        </w:rPr>
        <w:t xml:space="preserve">s caught red-handed, </w:t>
      </w:r>
      <w:r w:rsidR="006E04D4" w:rsidRPr="003450F1">
        <w:rPr>
          <w:rFonts w:ascii="Times New Roman" w:hAnsi="Times New Roman" w:cs="Times New Roman"/>
          <w:bCs/>
          <w:sz w:val="24"/>
          <w:szCs w:val="24"/>
          <w:lang w:val="en-US"/>
        </w:rPr>
        <w:t>an of</w:t>
      </w:r>
      <w:r w:rsidR="004660FC" w:rsidRPr="003450F1">
        <w:rPr>
          <w:rFonts w:ascii="Times New Roman" w:hAnsi="Times New Roman" w:cs="Times New Roman"/>
          <w:bCs/>
          <w:sz w:val="24"/>
          <w:szCs w:val="24"/>
          <w:lang w:val="en-US"/>
        </w:rPr>
        <w:t>ficer of the judicial police could already</w:t>
      </w:r>
      <w:r w:rsidR="006E04D4" w:rsidRPr="003450F1">
        <w:rPr>
          <w:rFonts w:ascii="Times New Roman" w:hAnsi="Times New Roman" w:cs="Times New Roman"/>
          <w:bCs/>
          <w:sz w:val="24"/>
          <w:szCs w:val="24"/>
          <w:lang w:val="en-US"/>
        </w:rPr>
        <w:t xml:space="preserve"> seize any object, document or data</w:t>
      </w:r>
      <w:r w:rsidRPr="003450F1">
        <w:rPr>
          <w:rFonts w:ascii="Times New Roman" w:hAnsi="Times New Roman" w:cs="Times New Roman"/>
          <w:bCs/>
          <w:sz w:val="24"/>
          <w:szCs w:val="24"/>
          <w:lang w:val="en-US"/>
        </w:rPr>
        <w:t xml:space="preserve"> </w:t>
      </w:r>
      <w:r w:rsidR="00A83C12" w:rsidRPr="003450F1">
        <w:rPr>
          <w:rFonts w:ascii="Times New Roman" w:hAnsi="Times New Roman" w:cs="Times New Roman"/>
          <w:bCs/>
          <w:sz w:val="24"/>
          <w:szCs w:val="24"/>
          <w:lang w:val="en-US"/>
        </w:rPr>
        <w:t xml:space="preserve">that has been used or was meant to be used for committing an offence, </w:t>
      </w:r>
      <w:r w:rsidR="00774F23" w:rsidRPr="003450F1">
        <w:rPr>
          <w:rFonts w:ascii="Times New Roman" w:hAnsi="Times New Roman" w:cs="Times New Roman"/>
          <w:bCs/>
          <w:sz w:val="24"/>
          <w:szCs w:val="24"/>
          <w:lang w:val="en-US"/>
        </w:rPr>
        <w:t xml:space="preserve">or </w:t>
      </w:r>
      <w:r w:rsidR="00A83C12" w:rsidRPr="003450F1">
        <w:rPr>
          <w:rFonts w:ascii="Times New Roman" w:hAnsi="Times New Roman" w:cs="Times New Roman"/>
          <w:bCs/>
          <w:sz w:val="24"/>
          <w:szCs w:val="24"/>
          <w:lang w:val="en-US"/>
        </w:rPr>
        <w:t>that was the object of the offence</w:t>
      </w:r>
      <w:r w:rsidR="004660FC" w:rsidRPr="003450F1">
        <w:rPr>
          <w:rFonts w:ascii="Times New Roman" w:hAnsi="Times New Roman" w:cs="Times New Roman"/>
          <w:bCs/>
          <w:sz w:val="24"/>
          <w:szCs w:val="24"/>
          <w:lang w:val="en-US"/>
        </w:rPr>
        <w:t>. More</w:t>
      </w:r>
      <w:r w:rsidR="00F07A13" w:rsidRPr="003450F1">
        <w:rPr>
          <w:rFonts w:ascii="Times New Roman" w:hAnsi="Times New Roman" w:cs="Times New Roman"/>
          <w:bCs/>
          <w:sz w:val="24"/>
          <w:szCs w:val="24"/>
          <w:lang w:val="en-US"/>
        </w:rPr>
        <w:t>over</w:t>
      </w:r>
      <w:r w:rsidR="004660FC" w:rsidRPr="003450F1">
        <w:rPr>
          <w:rFonts w:ascii="Times New Roman" w:hAnsi="Times New Roman" w:cs="Times New Roman"/>
          <w:bCs/>
          <w:sz w:val="24"/>
          <w:szCs w:val="24"/>
          <w:lang w:val="en-US"/>
        </w:rPr>
        <w:t xml:space="preserve"> in general, s/he could</w:t>
      </w:r>
      <w:r w:rsidR="00774F23" w:rsidRPr="003450F1">
        <w:rPr>
          <w:rFonts w:ascii="Times New Roman" w:hAnsi="Times New Roman" w:cs="Times New Roman"/>
          <w:bCs/>
          <w:sz w:val="24"/>
          <w:szCs w:val="24"/>
          <w:lang w:val="en-US"/>
        </w:rPr>
        <w:t xml:space="preserve"> seize</w:t>
      </w:r>
      <w:r w:rsidR="00A83C12" w:rsidRPr="003450F1">
        <w:rPr>
          <w:rFonts w:ascii="Times New Roman" w:hAnsi="Times New Roman" w:cs="Times New Roman"/>
          <w:bCs/>
          <w:sz w:val="24"/>
          <w:szCs w:val="24"/>
          <w:lang w:val="en-US"/>
        </w:rPr>
        <w:t xml:space="preserve"> anything that seems useful for discovering the truth or that could harm the criminal investigation. </w:t>
      </w:r>
      <w:r w:rsidR="00774F23" w:rsidRPr="003450F1">
        <w:rPr>
          <w:rFonts w:ascii="Times New Roman" w:hAnsi="Times New Roman" w:cs="Times New Roman"/>
          <w:bCs/>
          <w:sz w:val="24"/>
          <w:szCs w:val="24"/>
          <w:lang w:val="en-US"/>
        </w:rPr>
        <w:t xml:space="preserve">Article 66 (1) </w:t>
      </w:r>
      <w:r w:rsidR="00431EB9" w:rsidRPr="003450F1">
        <w:rPr>
          <w:rFonts w:ascii="Times New Roman" w:hAnsi="Times New Roman" w:cs="Times New Roman"/>
          <w:bCs/>
          <w:sz w:val="24"/>
          <w:szCs w:val="24"/>
          <w:lang w:val="en-US"/>
        </w:rPr>
        <w:t xml:space="preserve">of the </w:t>
      </w:r>
      <w:r w:rsidR="00774F23" w:rsidRPr="003450F1">
        <w:rPr>
          <w:rFonts w:ascii="Times New Roman" w:hAnsi="Times New Roman" w:cs="Times New Roman"/>
          <w:bCs/>
          <w:sz w:val="24"/>
          <w:szCs w:val="24"/>
          <w:lang w:val="en-US"/>
        </w:rPr>
        <w:t>Code of C</w:t>
      </w:r>
      <w:r w:rsidR="004660FC" w:rsidRPr="003450F1">
        <w:rPr>
          <w:rFonts w:ascii="Times New Roman" w:hAnsi="Times New Roman" w:cs="Times New Roman"/>
          <w:bCs/>
          <w:sz w:val="24"/>
          <w:szCs w:val="24"/>
          <w:lang w:val="en-US"/>
        </w:rPr>
        <w:t xml:space="preserve">riminal Procedure </w:t>
      </w:r>
      <w:r w:rsidR="0056189B" w:rsidRPr="003450F1">
        <w:rPr>
          <w:rFonts w:ascii="Times New Roman" w:hAnsi="Times New Roman" w:cs="Times New Roman"/>
          <w:bCs/>
          <w:sz w:val="24"/>
          <w:szCs w:val="24"/>
          <w:lang w:val="en-US"/>
        </w:rPr>
        <w:t xml:space="preserve">(version 2013) </w:t>
      </w:r>
      <w:r w:rsidR="004660FC" w:rsidRPr="003450F1">
        <w:rPr>
          <w:rFonts w:ascii="Times New Roman" w:hAnsi="Times New Roman" w:cs="Times New Roman"/>
          <w:bCs/>
          <w:sz w:val="24"/>
          <w:szCs w:val="24"/>
          <w:lang w:val="en-US"/>
        </w:rPr>
        <w:t>provided</w:t>
      </w:r>
      <w:r w:rsidR="00774F23" w:rsidRPr="003450F1">
        <w:rPr>
          <w:rFonts w:ascii="Times New Roman" w:hAnsi="Times New Roman" w:cs="Times New Roman"/>
          <w:bCs/>
          <w:sz w:val="24"/>
          <w:szCs w:val="24"/>
          <w:lang w:val="en-US"/>
        </w:rPr>
        <w:t xml:space="preserve"> the investigating judge with a similar power</w:t>
      </w:r>
      <w:r w:rsidR="009240E6" w:rsidRPr="003450F1">
        <w:rPr>
          <w:rFonts w:ascii="Times New Roman" w:hAnsi="Times New Roman" w:cs="Times New Roman"/>
          <w:bCs/>
          <w:sz w:val="24"/>
          <w:szCs w:val="24"/>
          <w:lang w:val="en-US"/>
        </w:rPr>
        <w:t>,</w:t>
      </w:r>
      <w:r w:rsidR="00774F23" w:rsidRPr="003450F1">
        <w:rPr>
          <w:rFonts w:ascii="Times New Roman" w:hAnsi="Times New Roman" w:cs="Times New Roman"/>
          <w:bCs/>
          <w:sz w:val="24"/>
          <w:szCs w:val="24"/>
          <w:lang w:val="en-US"/>
        </w:rPr>
        <w:t xml:space="preserve"> </w:t>
      </w:r>
      <w:r w:rsidR="009240E6" w:rsidRPr="003450F1">
        <w:rPr>
          <w:rFonts w:ascii="Times New Roman" w:hAnsi="Times New Roman" w:cs="Times New Roman"/>
          <w:bCs/>
          <w:sz w:val="24"/>
          <w:szCs w:val="24"/>
          <w:lang w:val="en-US"/>
        </w:rPr>
        <w:t>regardless of whether s/he is in charge of the investigation (i.e.</w:t>
      </w:r>
      <w:r w:rsidR="0055767D" w:rsidRPr="003450F1">
        <w:rPr>
          <w:rFonts w:ascii="Times New Roman" w:hAnsi="Times New Roman" w:cs="Times New Roman"/>
          <w:bCs/>
          <w:sz w:val="24"/>
          <w:szCs w:val="24"/>
          <w:lang w:val="en-US"/>
        </w:rPr>
        <w:t>,</w:t>
      </w:r>
      <w:r w:rsidR="009240E6" w:rsidRPr="003450F1">
        <w:rPr>
          <w:rFonts w:ascii="Times New Roman" w:hAnsi="Times New Roman" w:cs="Times New Roman"/>
          <w:bCs/>
          <w:sz w:val="24"/>
          <w:szCs w:val="24"/>
          <w:lang w:val="en-US"/>
        </w:rPr>
        <w:t xml:space="preserve"> </w:t>
      </w:r>
      <w:r w:rsidR="00774F23" w:rsidRPr="003450F1">
        <w:rPr>
          <w:rFonts w:ascii="Times New Roman" w:hAnsi="Times New Roman" w:cs="Times New Roman"/>
          <w:bCs/>
          <w:sz w:val="24"/>
          <w:szCs w:val="24"/>
          <w:lang w:val="en-US"/>
        </w:rPr>
        <w:t>in case of a judicial inquiry</w:t>
      </w:r>
      <w:r w:rsidR="009240E6" w:rsidRPr="003450F1">
        <w:rPr>
          <w:rFonts w:ascii="Times New Roman" w:hAnsi="Times New Roman" w:cs="Times New Roman"/>
          <w:bCs/>
          <w:sz w:val="24"/>
          <w:szCs w:val="24"/>
          <w:lang w:val="en-US"/>
        </w:rPr>
        <w:t xml:space="preserve">) or whether the </w:t>
      </w:r>
      <w:r w:rsidR="00E75C6F" w:rsidRPr="003450F1">
        <w:rPr>
          <w:rFonts w:ascii="Times New Roman" w:hAnsi="Times New Roman" w:cs="Times New Roman"/>
          <w:bCs/>
          <w:sz w:val="24"/>
          <w:szCs w:val="24"/>
          <w:lang w:val="en-US"/>
        </w:rPr>
        <w:t xml:space="preserve">seizure is requested by </w:t>
      </w:r>
      <w:r w:rsidR="009240E6" w:rsidRPr="003450F1">
        <w:rPr>
          <w:rFonts w:ascii="Times New Roman" w:hAnsi="Times New Roman" w:cs="Times New Roman"/>
          <w:bCs/>
          <w:sz w:val="24"/>
          <w:szCs w:val="24"/>
          <w:lang w:val="en-US"/>
        </w:rPr>
        <w:t xml:space="preserve">the public prosecutor </w:t>
      </w:r>
      <w:r w:rsidR="00E75C6F" w:rsidRPr="003450F1">
        <w:rPr>
          <w:rFonts w:ascii="Times New Roman" w:hAnsi="Times New Roman" w:cs="Times New Roman"/>
          <w:bCs/>
          <w:sz w:val="24"/>
          <w:szCs w:val="24"/>
          <w:lang w:val="en-US"/>
        </w:rPr>
        <w:t xml:space="preserve">leading the investigation </w:t>
      </w:r>
      <w:r w:rsidR="009240E6" w:rsidRPr="003450F1">
        <w:rPr>
          <w:rFonts w:ascii="Times New Roman" w:hAnsi="Times New Roman" w:cs="Times New Roman"/>
          <w:bCs/>
          <w:sz w:val="24"/>
          <w:szCs w:val="24"/>
          <w:lang w:val="en-US"/>
        </w:rPr>
        <w:t>(</w:t>
      </w:r>
      <w:r w:rsidR="00E75C6F" w:rsidRPr="003450F1">
        <w:rPr>
          <w:rFonts w:ascii="Times New Roman" w:hAnsi="Times New Roman" w:cs="Times New Roman"/>
          <w:bCs/>
          <w:sz w:val="24"/>
          <w:szCs w:val="24"/>
          <w:lang w:val="en-US"/>
        </w:rPr>
        <w:t>i.e.</w:t>
      </w:r>
      <w:r w:rsidR="0055767D" w:rsidRPr="003450F1">
        <w:rPr>
          <w:rFonts w:ascii="Times New Roman" w:hAnsi="Times New Roman" w:cs="Times New Roman"/>
          <w:bCs/>
          <w:sz w:val="24"/>
          <w:szCs w:val="24"/>
          <w:lang w:val="en-US"/>
        </w:rPr>
        <w:t>,</w:t>
      </w:r>
      <w:r w:rsidR="00E75C6F" w:rsidRPr="003450F1">
        <w:rPr>
          <w:rFonts w:ascii="Times New Roman" w:hAnsi="Times New Roman" w:cs="Times New Roman"/>
          <w:bCs/>
          <w:sz w:val="24"/>
          <w:szCs w:val="24"/>
          <w:lang w:val="en-US"/>
        </w:rPr>
        <w:t xml:space="preserve"> on the basis of a so-called </w:t>
      </w:r>
      <w:r w:rsidR="00E75C6F" w:rsidRPr="003450F1">
        <w:rPr>
          <w:rFonts w:ascii="Times New Roman" w:hAnsi="Times New Roman" w:cs="Times New Roman"/>
          <w:bCs/>
          <w:i/>
          <w:sz w:val="24"/>
          <w:szCs w:val="24"/>
          <w:lang w:val="en-US"/>
        </w:rPr>
        <w:t>mini-instruction</w:t>
      </w:r>
      <w:r w:rsidR="00E75C6F" w:rsidRPr="003450F1">
        <w:rPr>
          <w:rFonts w:ascii="Times New Roman" w:hAnsi="Times New Roman" w:cs="Times New Roman"/>
          <w:bCs/>
          <w:sz w:val="24"/>
          <w:szCs w:val="24"/>
          <w:lang w:val="en-US"/>
        </w:rPr>
        <w:t xml:space="preserve">, which can be used </w:t>
      </w:r>
      <w:r w:rsidR="009240E6" w:rsidRPr="003450F1">
        <w:rPr>
          <w:rFonts w:ascii="Times New Roman" w:hAnsi="Times New Roman" w:cs="Times New Roman"/>
          <w:bCs/>
          <w:sz w:val="24"/>
          <w:szCs w:val="24"/>
          <w:lang w:val="en-US"/>
        </w:rPr>
        <w:t xml:space="preserve">in most </w:t>
      </w:r>
      <w:r w:rsidR="004660FC" w:rsidRPr="003450F1">
        <w:rPr>
          <w:rFonts w:ascii="Times New Roman" w:hAnsi="Times New Roman" w:cs="Times New Roman"/>
          <w:bCs/>
          <w:sz w:val="24"/>
          <w:szCs w:val="24"/>
          <w:lang w:val="en-US"/>
        </w:rPr>
        <w:t xml:space="preserve">cases, except for the most </w:t>
      </w:r>
      <w:r w:rsidR="009240E6" w:rsidRPr="003450F1">
        <w:rPr>
          <w:rFonts w:ascii="Times New Roman" w:hAnsi="Times New Roman" w:cs="Times New Roman"/>
          <w:bCs/>
          <w:sz w:val="24"/>
          <w:szCs w:val="24"/>
          <w:lang w:val="en-US"/>
        </w:rPr>
        <w:t>serious offences)</w:t>
      </w:r>
      <w:r w:rsidR="004660FC" w:rsidRPr="003450F1">
        <w:rPr>
          <w:rFonts w:ascii="Times New Roman" w:hAnsi="Times New Roman" w:cs="Times New Roman"/>
          <w:bCs/>
          <w:sz w:val="24"/>
          <w:szCs w:val="24"/>
          <w:lang w:val="en-US"/>
        </w:rPr>
        <w:t xml:space="preserve"> (see also </w:t>
      </w:r>
      <w:r w:rsidR="004660FC" w:rsidRPr="003450F1">
        <w:rPr>
          <w:rFonts w:ascii="Times New Roman" w:hAnsi="Times New Roman" w:cs="Times New Roman"/>
          <w:bCs/>
          <w:i/>
          <w:sz w:val="24"/>
          <w:szCs w:val="24"/>
          <w:lang w:val="en-US"/>
        </w:rPr>
        <w:t>supra</w:t>
      </w:r>
      <w:r w:rsidR="004660FC" w:rsidRPr="003450F1">
        <w:rPr>
          <w:rFonts w:ascii="Times New Roman" w:hAnsi="Times New Roman" w:cs="Times New Roman"/>
          <w:bCs/>
          <w:sz w:val="24"/>
          <w:szCs w:val="24"/>
          <w:lang w:val="en-US"/>
        </w:rPr>
        <w:t>, sub question 6)</w:t>
      </w:r>
      <w:r w:rsidR="00774F23" w:rsidRPr="003450F1">
        <w:rPr>
          <w:rFonts w:ascii="Times New Roman" w:hAnsi="Times New Roman" w:cs="Times New Roman"/>
          <w:bCs/>
          <w:sz w:val="24"/>
          <w:szCs w:val="24"/>
          <w:lang w:val="en-US"/>
        </w:rPr>
        <w:t xml:space="preserve">. </w:t>
      </w:r>
    </w:p>
    <w:p w14:paraId="2E232414" w14:textId="6654235F" w:rsidR="00B249E8" w:rsidRPr="003450F1" w:rsidRDefault="00431EB9"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I</w:t>
      </w:r>
      <w:r w:rsidR="006B0842" w:rsidRPr="003450F1">
        <w:rPr>
          <w:rFonts w:ascii="Times New Roman" w:hAnsi="Times New Roman" w:cs="Times New Roman"/>
          <w:bCs/>
          <w:sz w:val="24"/>
          <w:szCs w:val="24"/>
          <w:lang w:val="en-US"/>
        </w:rPr>
        <w:t xml:space="preserve">n light of </w:t>
      </w:r>
      <w:r w:rsidR="00C45C98" w:rsidRPr="003450F1">
        <w:rPr>
          <w:rFonts w:ascii="Times New Roman" w:hAnsi="Times New Roman" w:cs="Times New Roman"/>
          <w:bCs/>
          <w:sz w:val="24"/>
          <w:szCs w:val="24"/>
          <w:lang w:val="en-US"/>
        </w:rPr>
        <w:t xml:space="preserve">Article 19 of </w:t>
      </w:r>
      <w:r w:rsidR="006B0842" w:rsidRPr="003450F1">
        <w:rPr>
          <w:rFonts w:ascii="Times New Roman" w:hAnsi="Times New Roman" w:cs="Times New Roman"/>
          <w:bCs/>
          <w:sz w:val="24"/>
          <w:szCs w:val="24"/>
          <w:lang w:val="en-US"/>
        </w:rPr>
        <w:t>the Budapest Convention,</w:t>
      </w:r>
      <w:r w:rsidR="00876BF9" w:rsidRPr="003450F1">
        <w:rPr>
          <w:rStyle w:val="Odwoanieprzypisudolnego"/>
          <w:rFonts w:ascii="Times New Roman" w:hAnsi="Times New Roman" w:cs="Times New Roman"/>
          <w:bCs/>
          <w:sz w:val="24"/>
          <w:szCs w:val="24"/>
          <w:lang w:val="en-US"/>
        </w:rPr>
        <w:footnoteReference w:id="88"/>
      </w:r>
      <w:r w:rsidR="006B0842" w:rsidRPr="003450F1">
        <w:rPr>
          <w:rFonts w:ascii="Times New Roman" w:hAnsi="Times New Roman" w:cs="Times New Roman"/>
          <w:bCs/>
          <w:sz w:val="24"/>
          <w:szCs w:val="24"/>
          <w:lang w:val="en-US"/>
        </w:rPr>
        <w:t xml:space="preserve"> </w:t>
      </w:r>
      <w:r w:rsidR="00C45C98" w:rsidRPr="003450F1">
        <w:rPr>
          <w:rFonts w:ascii="Times New Roman" w:hAnsi="Times New Roman" w:cs="Times New Roman"/>
          <w:bCs/>
          <w:sz w:val="24"/>
          <w:szCs w:val="24"/>
          <w:lang w:val="en-US"/>
        </w:rPr>
        <w:t xml:space="preserve">Articles 31 (3) and 66 (1) of the Code of Criminal Procedure were </w:t>
      </w:r>
      <w:r w:rsidR="00836871" w:rsidRPr="003450F1">
        <w:rPr>
          <w:rFonts w:ascii="Times New Roman" w:hAnsi="Times New Roman" w:cs="Times New Roman"/>
          <w:bCs/>
          <w:sz w:val="24"/>
          <w:szCs w:val="24"/>
          <w:lang w:val="en-US"/>
        </w:rPr>
        <w:t xml:space="preserve">subsequently </w:t>
      </w:r>
      <w:r w:rsidR="00C45C98" w:rsidRPr="003450F1">
        <w:rPr>
          <w:rFonts w:ascii="Times New Roman" w:hAnsi="Times New Roman" w:cs="Times New Roman"/>
          <w:bCs/>
          <w:sz w:val="24"/>
          <w:szCs w:val="24"/>
          <w:lang w:val="en-US"/>
        </w:rPr>
        <w:t>amended by the Law of 18 July 2014 and now explicitly include the seizure of data stored, processed or transmitted in a computer system</w:t>
      </w:r>
      <w:r w:rsidR="00ED2F0E" w:rsidRPr="003450F1">
        <w:rPr>
          <w:rFonts w:ascii="Times New Roman" w:hAnsi="Times New Roman" w:cs="Times New Roman"/>
          <w:bCs/>
          <w:sz w:val="24"/>
          <w:szCs w:val="24"/>
          <w:lang w:val="en-US"/>
        </w:rPr>
        <w:t xml:space="preserve"> (</w:t>
      </w:r>
      <w:r w:rsidR="00ED2F0E" w:rsidRPr="003450F1">
        <w:rPr>
          <w:rFonts w:ascii="Times New Roman" w:hAnsi="Times New Roman" w:cs="Times New Roman"/>
          <w:bCs/>
          <w:i/>
          <w:sz w:val="24"/>
          <w:szCs w:val="24"/>
          <w:lang w:val="en-US"/>
        </w:rPr>
        <w:t>supra</w:t>
      </w:r>
      <w:r w:rsidR="00ED2F0E" w:rsidRPr="003450F1">
        <w:rPr>
          <w:rFonts w:ascii="Times New Roman" w:hAnsi="Times New Roman" w:cs="Times New Roman"/>
          <w:bCs/>
          <w:sz w:val="24"/>
          <w:szCs w:val="24"/>
          <w:lang w:val="en-US"/>
        </w:rPr>
        <w:t>, sub question 6)</w:t>
      </w:r>
      <w:r w:rsidR="00C45C98" w:rsidRPr="003450F1">
        <w:rPr>
          <w:rFonts w:ascii="Times New Roman" w:hAnsi="Times New Roman" w:cs="Times New Roman"/>
          <w:bCs/>
          <w:sz w:val="24"/>
          <w:szCs w:val="24"/>
          <w:lang w:val="en-US"/>
        </w:rPr>
        <w:t>. In practice such data coul</w:t>
      </w:r>
      <w:r w:rsidR="006D3B93" w:rsidRPr="003450F1">
        <w:rPr>
          <w:rFonts w:ascii="Times New Roman" w:hAnsi="Times New Roman" w:cs="Times New Roman"/>
          <w:bCs/>
          <w:sz w:val="24"/>
          <w:szCs w:val="24"/>
          <w:lang w:val="en-US"/>
        </w:rPr>
        <w:t>d, however, already be seized before</w:t>
      </w:r>
      <w:r w:rsidR="00C45C98" w:rsidRPr="003450F1">
        <w:rPr>
          <w:rFonts w:ascii="Times New Roman" w:hAnsi="Times New Roman" w:cs="Times New Roman"/>
          <w:bCs/>
          <w:sz w:val="24"/>
          <w:szCs w:val="24"/>
          <w:lang w:val="en-US"/>
        </w:rPr>
        <w:t xml:space="preserve"> the amendment of 2014.</w:t>
      </w:r>
      <w:r w:rsidR="00C45C98" w:rsidRPr="003450F1">
        <w:rPr>
          <w:rStyle w:val="Odwoanieprzypisudolnego"/>
          <w:rFonts w:ascii="Times New Roman" w:hAnsi="Times New Roman" w:cs="Times New Roman"/>
          <w:bCs/>
          <w:sz w:val="24"/>
          <w:szCs w:val="24"/>
          <w:lang w:val="en-US"/>
        </w:rPr>
        <w:footnoteReference w:id="89"/>
      </w:r>
      <w:r w:rsidR="00C45C98" w:rsidRPr="003450F1">
        <w:rPr>
          <w:rFonts w:ascii="Times New Roman" w:hAnsi="Times New Roman" w:cs="Times New Roman"/>
          <w:bCs/>
          <w:sz w:val="24"/>
          <w:szCs w:val="24"/>
          <w:lang w:val="en-US"/>
        </w:rPr>
        <w:t xml:space="preserve"> </w:t>
      </w:r>
      <w:r w:rsidR="0056189B" w:rsidRPr="003450F1">
        <w:rPr>
          <w:rFonts w:ascii="Times New Roman" w:hAnsi="Times New Roman" w:cs="Times New Roman"/>
          <w:bCs/>
          <w:sz w:val="24"/>
          <w:szCs w:val="24"/>
          <w:lang w:val="en-US"/>
        </w:rPr>
        <w:t>In addition, i</w:t>
      </w:r>
      <w:r w:rsidR="00836871" w:rsidRPr="003450F1">
        <w:rPr>
          <w:rFonts w:ascii="Times New Roman" w:hAnsi="Times New Roman" w:cs="Times New Roman"/>
          <w:bCs/>
          <w:sz w:val="24"/>
          <w:szCs w:val="24"/>
          <w:lang w:val="en-US"/>
        </w:rPr>
        <w:t xml:space="preserve">t should be </w:t>
      </w:r>
      <w:r w:rsidR="00ED2F0E" w:rsidRPr="003450F1">
        <w:rPr>
          <w:rFonts w:ascii="Times New Roman" w:hAnsi="Times New Roman" w:cs="Times New Roman"/>
          <w:bCs/>
          <w:sz w:val="24"/>
          <w:szCs w:val="24"/>
          <w:lang w:val="en-US"/>
        </w:rPr>
        <w:t>emphasized</w:t>
      </w:r>
      <w:r w:rsidR="00836871" w:rsidRPr="003450F1">
        <w:rPr>
          <w:rFonts w:ascii="Times New Roman" w:hAnsi="Times New Roman" w:cs="Times New Roman"/>
          <w:bCs/>
          <w:sz w:val="24"/>
          <w:szCs w:val="24"/>
          <w:lang w:val="en-US"/>
        </w:rPr>
        <w:t xml:space="preserve"> that </w:t>
      </w:r>
      <w:r w:rsidR="0056189B" w:rsidRPr="003450F1">
        <w:rPr>
          <w:rFonts w:ascii="Times New Roman" w:hAnsi="Times New Roman" w:cs="Times New Roman"/>
          <w:bCs/>
          <w:sz w:val="24"/>
          <w:szCs w:val="24"/>
          <w:lang w:val="en-US"/>
        </w:rPr>
        <w:t>a</w:t>
      </w:r>
      <w:r w:rsidR="00836871" w:rsidRPr="003450F1">
        <w:rPr>
          <w:rFonts w:ascii="Times New Roman" w:hAnsi="Times New Roman" w:cs="Times New Roman"/>
          <w:bCs/>
          <w:sz w:val="24"/>
          <w:szCs w:val="24"/>
          <w:lang w:val="en-US"/>
        </w:rPr>
        <w:t xml:space="preserve"> seizure of data is only possible </w:t>
      </w:r>
      <w:r w:rsidR="00B249E8" w:rsidRPr="003450F1">
        <w:rPr>
          <w:rFonts w:ascii="Times New Roman" w:hAnsi="Times New Roman" w:cs="Times New Roman"/>
          <w:bCs/>
          <w:sz w:val="24"/>
          <w:szCs w:val="24"/>
          <w:lang w:val="en-US"/>
        </w:rPr>
        <w:t>if the data are situated in Luxembourg. In practice,</w:t>
      </w:r>
      <w:r w:rsidR="00ED2F0E" w:rsidRPr="003450F1">
        <w:rPr>
          <w:rFonts w:ascii="Times New Roman" w:hAnsi="Times New Roman" w:cs="Times New Roman"/>
          <w:bCs/>
          <w:sz w:val="24"/>
          <w:szCs w:val="24"/>
          <w:lang w:val="en-US"/>
        </w:rPr>
        <w:t xml:space="preserve"> this is quite often</w:t>
      </w:r>
      <w:r w:rsidR="00B249E8" w:rsidRPr="003450F1">
        <w:rPr>
          <w:rFonts w:ascii="Times New Roman" w:hAnsi="Times New Roman" w:cs="Times New Roman"/>
          <w:bCs/>
          <w:sz w:val="24"/>
          <w:szCs w:val="24"/>
          <w:lang w:val="en-US"/>
        </w:rPr>
        <w:t xml:space="preserve"> the case, even in case of foreign ISPs without </w:t>
      </w:r>
      <w:r w:rsidR="00B249E8" w:rsidRPr="003450F1">
        <w:rPr>
          <w:rFonts w:ascii="Times New Roman" w:hAnsi="Times New Roman" w:cs="Times New Roman"/>
          <w:bCs/>
          <w:sz w:val="24"/>
          <w:szCs w:val="24"/>
          <w:lang w:val="en-US"/>
        </w:rPr>
        <w:lastRenderedPageBreak/>
        <w:t xml:space="preserve">an office in Luxembourg, because they </w:t>
      </w:r>
      <w:r w:rsidR="00ED2F0E" w:rsidRPr="003450F1">
        <w:rPr>
          <w:rFonts w:ascii="Times New Roman" w:hAnsi="Times New Roman" w:cs="Times New Roman"/>
          <w:bCs/>
          <w:sz w:val="24"/>
          <w:szCs w:val="24"/>
          <w:lang w:val="en-US"/>
        </w:rPr>
        <w:t>usually</w:t>
      </w:r>
      <w:r w:rsidR="00B249E8" w:rsidRPr="003450F1">
        <w:rPr>
          <w:rFonts w:ascii="Times New Roman" w:hAnsi="Times New Roman" w:cs="Times New Roman"/>
          <w:bCs/>
          <w:sz w:val="24"/>
          <w:szCs w:val="24"/>
          <w:lang w:val="en-US"/>
        </w:rPr>
        <w:t xml:space="preserve"> keep a copy of their data on local servers mirroring.</w:t>
      </w:r>
      <w:r w:rsidR="00B249E8" w:rsidRPr="003450F1">
        <w:rPr>
          <w:rStyle w:val="Odwoanieprzypisudolnego"/>
          <w:rFonts w:ascii="Times New Roman" w:hAnsi="Times New Roman" w:cs="Times New Roman"/>
          <w:bCs/>
          <w:sz w:val="24"/>
          <w:szCs w:val="24"/>
          <w:lang w:val="en-US"/>
        </w:rPr>
        <w:footnoteReference w:id="90"/>
      </w:r>
      <w:r w:rsidR="00B249E8" w:rsidRPr="003450F1">
        <w:rPr>
          <w:rFonts w:ascii="Times New Roman" w:hAnsi="Times New Roman" w:cs="Times New Roman"/>
          <w:bCs/>
          <w:sz w:val="24"/>
          <w:szCs w:val="24"/>
          <w:lang w:val="en-US"/>
        </w:rPr>
        <w:t xml:space="preserve"> </w:t>
      </w:r>
      <w:r w:rsidR="00ED2F0E" w:rsidRPr="003450F1">
        <w:rPr>
          <w:rFonts w:ascii="Times New Roman" w:hAnsi="Times New Roman" w:cs="Times New Roman"/>
          <w:bCs/>
          <w:sz w:val="24"/>
          <w:szCs w:val="24"/>
          <w:lang w:val="en-US"/>
        </w:rPr>
        <w:t xml:space="preserve">If the data are not physically available in the Grand Duchy, the judicial authorities can </w:t>
      </w:r>
      <w:r w:rsidR="0056189B" w:rsidRPr="003450F1">
        <w:rPr>
          <w:rFonts w:ascii="Times New Roman" w:hAnsi="Times New Roman" w:cs="Times New Roman"/>
          <w:bCs/>
          <w:sz w:val="24"/>
          <w:szCs w:val="24"/>
          <w:lang w:val="en-US"/>
        </w:rPr>
        <w:t xml:space="preserve">decide to </w:t>
      </w:r>
      <w:r w:rsidR="00ED2F0E" w:rsidRPr="003450F1">
        <w:rPr>
          <w:rFonts w:ascii="Times New Roman" w:hAnsi="Times New Roman" w:cs="Times New Roman"/>
          <w:bCs/>
          <w:sz w:val="24"/>
          <w:szCs w:val="24"/>
          <w:lang w:val="en-US"/>
        </w:rPr>
        <w:t>issue a mutual legal assistance request to their colleagues in the country where the data are (suspected to be) located.</w:t>
      </w:r>
    </w:p>
    <w:p w14:paraId="1A711FA7" w14:textId="2673C8A9" w:rsidR="00B249E8" w:rsidRPr="003450F1" w:rsidRDefault="0056189B"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Furthermore, d</w:t>
      </w:r>
      <w:r w:rsidR="005756C8" w:rsidRPr="003450F1">
        <w:rPr>
          <w:rFonts w:ascii="Times New Roman" w:hAnsi="Times New Roman" w:cs="Times New Roman"/>
          <w:bCs/>
          <w:sz w:val="24"/>
          <w:szCs w:val="24"/>
          <w:lang w:val="en-US"/>
        </w:rPr>
        <w:t xml:space="preserve">espite the </w:t>
      </w:r>
      <w:r w:rsidR="00B249E8" w:rsidRPr="003450F1">
        <w:rPr>
          <w:rFonts w:ascii="Times New Roman" w:hAnsi="Times New Roman" w:cs="Times New Roman"/>
          <w:bCs/>
          <w:sz w:val="24"/>
          <w:szCs w:val="24"/>
          <w:lang w:val="en-US"/>
        </w:rPr>
        <w:t>above</w:t>
      </w:r>
      <w:r w:rsidR="005756C8" w:rsidRPr="003450F1">
        <w:rPr>
          <w:rFonts w:ascii="Times New Roman" w:hAnsi="Times New Roman" w:cs="Times New Roman"/>
          <w:bCs/>
          <w:sz w:val="24"/>
          <w:szCs w:val="24"/>
          <w:lang w:val="en-US"/>
        </w:rPr>
        <w:t xml:space="preserve"> argument </w:t>
      </w:r>
      <w:r w:rsidR="004660FC" w:rsidRPr="003450F1">
        <w:rPr>
          <w:rFonts w:ascii="Times New Roman" w:hAnsi="Times New Roman" w:cs="Times New Roman"/>
          <w:bCs/>
          <w:sz w:val="24"/>
          <w:szCs w:val="24"/>
          <w:lang w:val="en-US"/>
        </w:rPr>
        <w:t xml:space="preserve">of </w:t>
      </w:r>
      <w:r w:rsidR="00B249E8" w:rsidRPr="003450F1">
        <w:rPr>
          <w:rFonts w:ascii="Times New Roman" w:hAnsi="Times New Roman" w:cs="Times New Roman"/>
          <w:bCs/>
          <w:sz w:val="24"/>
          <w:szCs w:val="24"/>
          <w:lang w:val="en-US"/>
        </w:rPr>
        <w:t xml:space="preserve">the legislator in 2013 </w:t>
      </w:r>
      <w:r w:rsidR="005756C8" w:rsidRPr="003450F1">
        <w:rPr>
          <w:rFonts w:ascii="Times New Roman" w:hAnsi="Times New Roman" w:cs="Times New Roman"/>
          <w:bCs/>
          <w:sz w:val="24"/>
          <w:szCs w:val="24"/>
          <w:lang w:val="en-US"/>
        </w:rPr>
        <w:t>that an explicit implementation of Article 25 (1) of the</w:t>
      </w:r>
      <w:r w:rsidR="00786EDA" w:rsidRPr="003450F1">
        <w:rPr>
          <w:rFonts w:ascii="Times New Roman" w:hAnsi="Times New Roman" w:cs="Times New Roman"/>
          <w:bCs/>
          <w:sz w:val="24"/>
          <w:szCs w:val="24"/>
          <w:lang w:val="en-US"/>
        </w:rPr>
        <w:t xml:space="preserve"> 2013</w:t>
      </w:r>
      <w:r w:rsidR="005756C8" w:rsidRPr="003450F1">
        <w:rPr>
          <w:rFonts w:ascii="Times New Roman" w:hAnsi="Times New Roman" w:cs="Times New Roman"/>
          <w:bCs/>
          <w:sz w:val="24"/>
          <w:szCs w:val="24"/>
          <w:lang w:val="en-US"/>
        </w:rPr>
        <w:t xml:space="preserve"> </w:t>
      </w:r>
      <w:r w:rsidR="005756C8" w:rsidRPr="003450F1">
        <w:rPr>
          <w:rFonts w:ascii="Times New Roman" w:hAnsi="Times New Roman" w:cs="Times New Roman"/>
          <w:sz w:val="24"/>
          <w:szCs w:val="24"/>
          <w:lang w:val="en-US"/>
        </w:rPr>
        <w:t>Child Abuse Directive</w:t>
      </w:r>
      <w:r w:rsidR="005756C8" w:rsidRPr="003450F1">
        <w:rPr>
          <w:rFonts w:ascii="Times New Roman" w:hAnsi="Times New Roman" w:cs="Times New Roman"/>
          <w:bCs/>
          <w:sz w:val="24"/>
          <w:szCs w:val="24"/>
          <w:lang w:val="en-US"/>
        </w:rPr>
        <w:t xml:space="preserve"> was superfluous considering the existing seizure powers of the judicial authorities, the Law of 18 July 2014 inserted in </w:t>
      </w:r>
      <w:r w:rsidR="006B0842" w:rsidRPr="003450F1">
        <w:rPr>
          <w:rFonts w:ascii="Times New Roman" w:hAnsi="Times New Roman" w:cs="Times New Roman"/>
          <w:bCs/>
          <w:sz w:val="24"/>
          <w:szCs w:val="24"/>
          <w:lang w:val="en-US"/>
        </w:rPr>
        <w:t xml:space="preserve">Article 66 (3) </w:t>
      </w:r>
      <w:r w:rsidR="005756C8" w:rsidRPr="003450F1">
        <w:rPr>
          <w:rFonts w:ascii="Times New Roman" w:hAnsi="Times New Roman" w:cs="Times New Roman"/>
          <w:bCs/>
          <w:sz w:val="24"/>
          <w:szCs w:val="24"/>
          <w:lang w:val="en-US"/>
        </w:rPr>
        <w:t xml:space="preserve">the explicit </w:t>
      </w:r>
      <w:r w:rsidR="006B0842" w:rsidRPr="003450F1">
        <w:rPr>
          <w:rFonts w:ascii="Times New Roman" w:hAnsi="Times New Roman" w:cs="Times New Roman"/>
          <w:bCs/>
          <w:sz w:val="24"/>
          <w:szCs w:val="24"/>
          <w:lang w:val="en-US"/>
        </w:rPr>
        <w:t>possibility</w:t>
      </w:r>
      <w:r w:rsidR="005756C8" w:rsidRPr="003450F1">
        <w:rPr>
          <w:rFonts w:ascii="Times New Roman" w:hAnsi="Times New Roman" w:cs="Times New Roman"/>
          <w:bCs/>
          <w:sz w:val="24"/>
          <w:szCs w:val="24"/>
          <w:lang w:val="en-US"/>
        </w:rPr>
        <w:t xml:space="preserve"> for the investigating judge</w:t>
      </w:r>
      <w:r w:rsidR="006B0842" w:rsidRPr="003450F1">
        <w:rPr>
          <w:rFonts w:ascii="Times New Roman" w:hAnsi="Times New Roman" w:cs="Times New Roman"/>
          <w:bCs/>
          <w:sz w:val="24"/>
          <w:szCs w:val="24"/>
          <w:lang w:val="en-US"/>
        </w:rPr>
        <w:t xml:space="preserve"> </w:t>
      </w:r>
      <w:r w:rsidR="006D3B93" w:rsidRPr="003450F1">
        <w:rPr>
          <w:rFonts w:ascii="Times New Roman" w:hAnsi="Times New Roman" w:cs="Times New Roman"/>
          <w:bCs/>
          <w:sz w:val="24"/>
          <w:szCs w:val="24"/>
          <w:lang w:val="en-US"/>
        </w:rPr>
        <w:t xml:space="preserve">to definitively </w:t>
      </w:r>
      <w:r w:rsidRPr="003450F1">
        <w:rPr>
          <w:rFonts w:ascii="Times New Roman" w:hAnsi="Times New Roman" w:cs="Times New Roman"/>
          <w:bCs/>
          <w:i/>
          <w:sz w:val="24"/>
          <w:szCs w:val="24"/>
          <w:lang w:val="en-US"/>
        </w:rPr>
        <w:t>erase</w:t>
      </w:r>
      <w:r w:rsidRPr="003450F1">
        <w:rPr>
          <w:rFonts w:ascii="Times New Roman" w:hAnsi="Times New Roman" w:cs="Times New Roman"/>
          <w:bCs/>
          <w:sz w:val="24"/>
          <w:szCs w:val="24"/>
          <w:lang w:val="en-US"/>
        </w:rPr>
        <w:t xml:space="preserve"> </w:t>
      </w:r>
      <w:r w:rsidR="006D3B93" w:rsidRPr="003450F1">
        <w:rPr>
          <w:rFonts w:ascii="Times New Roman" w:hAnsi="Times New Roman" w:cs="Times New Roman"/>
          <w:bCs/>
          <w:i/>
          <w:sz w:val="24"/>
          <w:szCs w:val="24"/>
          <w:lang w:val="en-US"/>
        </w:rPr>
        <w:t>data</w:t>
      </w:r>
      <w:r w:rsidR="006D3B93" w:rsidRPr="003450F1">
        <w:rPr>
          <w:rFonts w:ascii="Times New Roman" w:hAnsi="Times New Roman" w:cs="Times New Roman"/>
          <w:bCs/>
          <w:sz w:val="24"/>
          <w:szCs w:val="24"/>
          <w:lang w:val="en-US"/>
        </w:rPr>
        <w:t xml:space="preserve"> which have been copied and seized</w:t>
      </w:r>
      <w:r w:rsidRPr="003450F1">
        <w:rPr>
          <w:rFonts w:ascii="Times New Roman" w:hAnsi="Times New Roman" w:cs="Times New Roman"/>
          <w:bCs/>
          <w:sz w:val="24"/>
          <w:szCs w:val="24"/>
          <w:lang w:val="en-US"/>
        </w:rPr>
        <w:t>,</w:t>
      </w:r>
      <w:r w:rsidR="006D3B93" w:rsidRPr="003450F1">
        <w:rPr>
          <w:rFonts w:ascii="Times New Roman" w:hAnsi="Times New Roman" w:cs="Times New Roman"/>
          <w:bCs/>
          <w:sz w:val="24"/>
          <w:szCs w:val="24"/>
          <w:lang w:val="en-US"/>
        </w:rPr>
        <w:t xml:space="preserve"> </w:t>
      </w:r>
      <w:r w:rsidR="005756C8" w:rsidRPr="003450F1">
        <w:rPr>
          <w:rFonts w:ascii="Times New Roman" w:hAnsi="Times New Roman" w:cs="Times New Roman"/>
          <w:bCs/>
          <w:i/>
          <w:sz w:val="24"/>
          <w:szCs w:val="24"/>
          <w:lang w:val="en-US"/>
        </w:rPr>
        <w:t>provided that</w:t>
      </w:r>
      <w:r w:rsidR="005756C8" w:rsidRPr="003450F1">
        <w:rPr>
          <w:rFonts w:ascii="Times New Roman" w:hAnsi="Times New Roman" w:cs="Times New Roman"/>
          <w:bCs/>
          <w:sz w:val="24"/>
          <w:szCs w:val="24"/>
          <w:lang w:val="en-US"/>
        </w:rPr>
        <w:t xml:space="preserve"> </w:t>
      </w:r>
      <w:r w:rsidR="006D3B93" w:rsidRPr="003450F1">
        <w:rPr>
          <w:rFonts w:ascii="Times New Roman" w:hAnsi="Times New Roman" w:cs="Times New Roman"/>
          <w:bCs/>
          <w:sz w:val="24"/>
          <w:szCs w:val="24"/>
          <w:lang w:val="en-US"/>
        </w:rPr>
        <w:t>the d</w:t>
      </w:r>
      <w:r w:rsidR="005756C8" w:rsidRPr="003450F1">
        <w:rPr>
          <w:rFonts w:ascii="Times New Roman" w:hAnsi="Times New Roman" w:cs="Times New Roman"/>
          <w:bCs/>
          <w:sz w:val="24"/>
          <w:szCs w:val="24"/>
          <w:lang w:val="en-US"/>
        </w:rPr>
        <w:t>evice where the data</w:t>
      </w:r>
      <w:r w:rsidR="006D3B93" w:rsidRPr="003450F1">
        <w:rPr>
          <w:rFonts w:ascii="Times New Roman" w:hAnsi="Times New Roman" w:cs="Times New Roman"/>
          <w:bCs/>
          <w:sz w:val="24"/>
          <w:szCs w:val="24"/>
          <w:lang w:val="en-US"/>
        </w:rPr>
        <w:t xml:space="preserve"> </w:t>
      </w:r>
      <w:r w:rsidR="005756C8" w:rsidRPr="003450F1">
        <w:rPr>
          <w:rFonts w:ascii="Times New Roman" w:hAnsi="Times New Roman" w:cs="Times New Roman"/>
          <w:bCs/>
          <w:sz w:val="24"/>
          <w:szCs w:val="24"/>
          <w:lang w:val="en-US"/>
        </w:rPr>
        <w:t>were found</w:t>
      </w:r>
      <w:r w:rsidR="006D3B93" w:rsidRPr="003450F1">
        <w:rPr>
          <w:rFonts w:ascii="Times New Roman" w:hAnsi="Times New Roman" w:cs="Times New Roman"/>
          <w:bCs/>
          <w:sz w:val="24"/>
          <w:szCs w:val="24"/>
          <w:lang w:val="en-US"/>
        </w:rPr>
        <w:t xml:space="preserve"> is physically located in Luxembourg</w:t>
      </w:r>
      <w:r w:rsidR="005756C8" w:rsidRPr="003450F1">
        <w:rPr>
          <w:rFonts w:ascii="Times New Roman" w:hAnsi="Times New Roman" w:cs="Times New Roman"/>
          <w:bCs/>
          <w:sz w:val="24"/>
          <w:szCs w:val="24"/>
          <w:lang w:val="en-US"/>
        </w:rPr>
        <w:t xml:space="preserve"> and has not been seized by the judicial authorities</w:t>
      </w:r>
      <w:r w:rsidR="0061440F" w:rsidRPr="003450F1">
        <w:rPr>
          <w:rFonts w:ascii="Times New Roman" w:hAnsi="Times New Roman" w:cs="Times New Roman"/>
          <w:bCs/>
          <w:sz w:val="24"/>
          <w:szCs w:val="24"/>
          <w:lang w:val="en-US"/>
        </w:rPr>
        <w:t xml:space="preserve">, and </w:t>
      </w:r>
      <w:r w:rsidR="0061440F" w:rsidRPr="003450F1">
        <w:rPr>
          <w:rFonts w:ascii="Times New Roman" w:hAnsi="Times New Roman" w:cs="Times New Roman"/>
          <w:bCs/>
          <w:i/>
          <w:sz w:val="24"/>
          <w:szCs w:val="24"/>
          <w:lang w:val="en-US"/>
        </w:rPr>
        <w:t xml:space="preserve">provided </w:t>
      </w:r>
      <w:r w:rsidRPr="003450F1">
        <w:rPr>
          <w:rFonts w:ascii="Times New Roman" w:hAnsi="Times New Roman" w:cs="Times New Roman"/>
          <w:bCs/>
          <w:i/>
          <w:sz w:val="24"/>
          <w:szCs w:val="24"/>
          <w:lang w:val="en-US"/>
        </w:rPr>
        <w:t xml:space="preserve">also </w:t>
      </w:r>
      <w:r w:rsidR="0061440F" w:rsidRPr="003450F1">
        <w:rPr>
          <w:rFonts w:ascii="Times New Roman" w:hAnsi="Times New Roman" w:cs="Times New Roman"/>
          <w:bCs/>
          <w:i/>
          <w:sz w:val="24"/>
          <w:szCs w:val="24"/>
          <w:lang w:val="en-US"/>
        </w:rPr>
        <w:t>that</w:t>
      </w:r>
      <w:r w:rsidR="0061440F" w:rsidRPr="003450F1">
        <w:rPr>
          <w:rFonts w:ascii="Times New Roman" w:hAnsi="Times New Roman" w:cs="Times New Roman"/>
          <w:bCs/>
          <w:sz w:val="24"/>
          <w:szCs w:val="24"/>
          <w:lang w:val="en-US"/>
        </w:rPr>
        <w:t xml:space="preserve"> the retention or use of the data concerned is illegal or dangerous for the security of persons or goods (</w:t>
      </w:r>
      <w:r w:rsidR="0061440F" w:rsidRPr="003450F1">
        <w:rPr>
          <w:rFonts w:ascii="Times New Roman" w:hAnsi="Times New Roman" w:cs="Times New Roman"/>
          <w:bCs/>
          <w:i/>
          <w:sz w:val="24"/>
          <w:szCs w:val="24"/>
          <w:lang w:val="en-US"/>
        </w:rPr>
        <w:t>supra</w:t>
      </w:r>
      <w:r w:rsidR="0061440F" w:rsidRPr="003450F1">
        <w:rPr>
          <w:rFonts w:ascii="Times New Roman" w:hAnsi="Times New Roman" w:cs="Times New Roman"/>
          <w:bCs/>
          <w:sz w:val="24"/>
          <w:szCs w:val="24"/>
          <w:lang w:val="en-US"/>
        </w:rPr>
        <w:t>, sub question 6)</w:t>
      </w:r>
      <w:r w:rsidR="006D3B93" w:rsidRPr="003450F1">
        <w:rPr>
          <w:rFonts w:ascii="Times New Roman" w:hAnsi="Times New Roman" w:cs="Times New Roman"/>
          <w:bCs/>
          <w:sz w:val="24"/>
          <w:szCs w:val="24"/>
          <w:lang w:val="en-US"/>
        </w:rPr>
        <w:t>.</w:t>
      </w:r>
    </w:p>
    <w:p w14:paraId="1CEE2959" w14:textId="15B4AD6D" w:rsidR="00D60654" w:rsidRPr="003450F1" w:rsidRDefault="00D769FE"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The aforementioned possibilities of seizure</w:t>
      </w:r>
      <w:r w:rsidR="00B249E8" w:rsidRPr="003450F1">
        <w:rPr>
          <w:rFonts w:ascii="Times New Roman" w:hAnsi="Times New Roman" w:cs="Times New Roman"/>
          <w:bCs/>
          <w:sz w:val="24"/>
          <w:szCs w:val="24"/>
          <w:lang w:val="en-US"/>
        </w:rPr>
        <w:t xml:space="preserve"> and </w:t>
      </w:r>
      <w:r w:rsidRPr="003450F1">
        <w:rPr>
          <w:rFonts w:ascii="Times New Roman" w:hAnsi="Times New Roman" w:cs="Times New Roman"/>
          <w:bCs/>
          <w:sz w:val="24"/>
          <w:szCs w:val="24"/>
          <w:lang w:val="en-US"/>
        </w:rPr>
        <w:t xml:space="preserve">erasure of </w:t>
      </w:r>
      <w:r w:rsidR="00B249E8" w:rsidRPr="003450F1">
        <w:rPr>
          <w:rFonts w:ascii="Times New Roman" w:hAnsi="Times New Roman" w:cs="Times New Roman"/>
          <w:bCs/>
          <w:sz w:val="24"/>
          <w:szCs w:val="24"/>
          <w:lang w:val="en-US"/>
        </w:rPr>
        <w:t xml:space="preserve">data </w:t>
      </w:r>
      <w:r w:rsidR="00D60654" w:rsidRPr="003450F1">
        <w:rPr>
          <w:rFonts w:ascii="Times New Roman" w:hAnsi="Times New Roman" w:cs="Times New Roman"/>
          <w:bCs/>
          <w:sz w:val="24"/>
          <w:szCs w:val="24"/>
          <w:lang w:val="en-US"/>
        </w:rPr>
        <w:t xml:space="preserve">are </w:t>
      </w:r>
      <w:r w:rsidR="00D60654" w:rsidRPr="003450F1">
        <w:rPr>
          <w:rFonts w:ascii="Times New Roman" w:hAnsi="Times New Roman" w:cs="Times New Roman"/>
          <w:bCs/>
          <w:i/>
          <w:sz w:val="24"/>
          <w:szCs w:val="24"/>
          <w:lang w:val="en-US"/>
        </w:rPr>
        <w:t>general measures</w:t>
      </w:r>
      <w:r w:rsidR="00D60654" w:rsidRPr="003450F1">
        <w:rPr>
          <w:rFonts w:ascii="Times New Roman" w:hAnsi="Times New Roman" w:cs="Times New Roman"/>
          <w:bCs/>
          <w:sz w:val="24"/>
          <w:szCs w:val="24"/>
          <w:lang w:val="en-US"/>
        </w:rPr>
        <w:t>, meaning that they can be applied to any kind of web pages containing or disseminating illegal content, not just to child pornography.</w:t>
      </w:r>
    </w:p>
    <w:p w14:paraId="599815EE" w14:textId="570C05D1" w:rsidR="00E85AE4" w:rsidRPr="003450F1" w:rsidRDefault="0063184A"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When</w:t>
      </w:r>
      <w:r w:rsidR="00ED2F0E" w:rsidRPr="003450F1">
        <w:rPr>
          <w:rFonts w:ascii="Times New Roman" w:hAnsi="Times New Roman" w:cs="Times New Roman"/>
          <w:bCs/>
          <w:sz w:val="24"/>
          <w:szCs w:val="24"/>
          <w:lang w:val="en-US"/>
        </w:rPr>
        <w:t xml:space="preserve"> it is not possible to remove (data from) a web page, for instance because the data are not located in Luxembourg, there is still the option of </w:t>
      </w:r>
      <w:r w:rsidR="006B0842" w:rsidRPr="003450F1">
        <w:rPr>
          <w:rFonts w:ascii="Times New Roman" w:hAnsi="Times New Roman" w:cs="Times New Roman"/>
          <w:bCs/>
          <w:i/>
          <w:sz w:val="24"/>
          <w:szCs w:val="24"/>
          <w:lang w:val="en-US"/>
        </w:rPr>
        <w:t xml:space="preserve">blocking </w:t>
      </w:r>
      <w:r w:rsidR="00ED2F0E" w:rsidRPr="003450F1">
        <w:rPr>
          <w:rFonts w:ascii="Times New Roman" w:hAnsi="Times New Roman" w:cs="Times New Roman"/>
          <w:bCs/>
          <w:i/>
          <w:sz w:val="24"/>
          <w:szCs w:val="24"/>
          <w:lang w:val="en-US"/>
        </w:rPr>
        <w:t xml:space="preserve">the </w:t>
      </w:r>
      <w:r w:rsidR="0037704A" w:rsidRPr="003450F1">
        <w:rPr>
          <w:rFonts w:ascii="Times New Roman" w:hAnsi="Times New Roman" w:cs="Times New Roman"/>
          <w:bCs/>
          <w:i/>
          <w:sz w:val="24"/>
          <w:szCs w:val="24"/>
          <w:lang w:val="en-US"/>
        </w:rPr>
        <w:t>access</w:t>
      </w:r>
      <w:r w:rsidR="0037704A" w:rsidRPr="003450F1">
        <w:rPr>
          <w:rFonts w:ascii="Times New Roman" w:hAnsi="Times New Roman" w:cs="Times New Roman"/>
          <w:bCs/>
          <w:sz w:val="24"/>
          <w:szCs w:val="24"/>
          <w:lang w:val="en-US"/>
        </w:rPr>
        <w:t xml:space="preserve"> to </w:t>
      </w:r>
      <w:r w:rsidR="00ED2F0E" w:rsidRPr="003450F1">
        <w:rPr>
          <w:rFonts w:ascii="Times New Roman" w:hAnsi="Times New Roman" w:cs="Times New Roman"/>
          <w:bCs/>
          <w:sz w:val="24"/>
          <w:szCs w:val="24"/>
          <w:lang w:val="en-US"/>
        </w:rPr>
        <w:t xml:space="preserve">the web page </w:t>
      </w:r>
      <w:r w:rsidR="00786EDA" w:rsidRPr="003450F1">
        <w:rPr>
          <w:rFonts w:ascii="Times New Roman" w:hAnsi="Times New Roman" w:cs="Times New Roman"/>
          <w:bCs/>
          <w:sz w:val="24"/>
          <w:szCs w:val="24"/>
          <w:lang w:val="en-US"/>
        </w:rPr>
        <w:t>at hand</w:t>
      </w:r>
      <w:r w:rsidR="00ED2F0E" w:rsidRPr="003450F1">
        <w:rPr>
          <w:rFonts w:ascii="Times New Roman" w:hAnsi="Times New Roman" w:cs="Times New Roman"/>
          <w:bCs/>
          <w:sz w:val="24"/>
          <w:szCs w:val="24"/>
          <w:lang w:val="en-US"/>
        </w:rPr>
        <w:t xml:space="preserve">. </w:t>
      </w:r>
      <w:r w:rsidR="00786EDA" w:rsidRPr="003450F1">
        <w:rPr>
          <w:rFonts w:ascii="Times New Roman" w:hAnsi="Times New Roman" w:cs="Times New Roman"/>
          <w:bCs/>
          <w:sz w:val="24"/>
          <w:szCs w:val="24"/>
          <w:lang w:val="en-US"/>
        </w:rPr>
        <w:t xml:space="preserve">When implementing the 2013 </w:t>
      </w:r>
      <w:r w:rsidR="00786EDA" w:rsidRPr="003450F1">
        <w:rPr>
          <w:rFonts w:ascii="Times New Roman" w:hAnsi="Times New Roman" w:cs="Times New Roman"/>
          <w:sz w:val="24"/>
          <w:szCs w:val="24"/>
          <w:lang w:val="en-US"/>
        </w:rPr>
        <w:t>Child Abuse Directive</w:t>
      </w:r>
      <w:r w:rsidR="006B0842" w:rsidRPr="003450F1">
        <w:rPr>
          <w:rFonts w:ascii="Times New Roman" w:hAnsi="Times New Roman" w:cs="Times New Roman"/>
          <w:bCs/>
          <w:sz w:val="24"/>
          <w:szCs w:val="24"/>
          <w:lang w:val="en-US"/>
        </w:rPr>
        <w:t xml:space="preserve">, the legislator emphasized that </w:t>
      </w:r>
      <w:r w:rsidR="00E85AE4" w:rsidRPr="003450F1">
        <w:rPr>
          <w:rFonts w:ascii="Times New Roman" w:hAnsi="Times New Roman" w:cs="Times New Roman"/>
          <w:bCs/>
          <w:sz w:val="24"/>
          <w:szCs w:val="24"/>
          <w:lang w:val="en-US"/>
        </w:rPr>
        <w:t xml:space="preserve">(certain) </w:t>
      </w:r>
      <w:r w:rsidRPr="003450F1">
        <w:rPr>
          <w:rFonts w:ascii="Times New Roman" w:hAnsi="Times New Roman" w:cs="Times New Roman"/>
          <w:bCs/>
          <w:sz w:val="24"/>
          <w:szCs w:val="24"/>
          <w:lang w:val="en-US"/>
        </w:rPr>
        <w:t xml:space="preserve">intermediary </w:t>
      </w:r>
      <w:r w:rsidR="0056189B" w:rsidRPr="003450F1">
        <w:rPr>
          <w:rFonts w:ascii="Times New Roman" w:hAnsi="Times New Roman" w:cs="Times New Roman"/>
          <w:bCs/>
          <w:sz w:val="24"/>
          <w:szCs w:val="24"/>
          <w:lang w:val="en-US"/>
        </w:rPr>
        <w:t xml:space="preserve">service providers </w:t>
      </w:r>
      <w:r w:rsidR="006B0842" w:rsidRPr="003450F1">
        <w:rPr>
          <w:rFonts w:ascii="Times New Roman" w:hAnsi="Times New Roman" w:cs="Times New Roman"/>
          <w:bCs/>
          <w:sz w:val="24"/>
          <w:szCs w:val="24"/>
          <w:lang w:val="en-US"/>
        </w:rPr>
        <w:t>alrea</w:t>
      </w:r>
      <w:r w:rsidR="00786EDA" w:rsidRPr="003450F1">
        <w:rPr>
          <w:rFonts w:ascii="Times New Roman" w:hAnsi="Times New Roman" w:cs="Times New Roman"/>
          <w:bCs/>
          <w:sz w:val="24"/>
          <w:szCs w:val="24"/>
          <w:lang w:val="en-US"/>
        </w:rPr>
        <w:t xml:space="preserve">dy have the obligation to </w:t>
      </w:r>
      <w:r w:rsidRPr="003450F1">
        <w:rPr>
          <w:rFonts w:ascii="Times New Roman" w:hAnsi="Times New Roman" w:cs="Times New Roman"/>
          <w:bCs/>
          <w:sz w:val="24"/>
          <w:szCs w:val="24"/>
          <w:lang w:val="en-US"/>
        </w:rPr>
        <w:t xml:space="preserve">promptly </w:t>
      </w:r>
      <w:r w:rsidR="00786EDA" w:rsidRPr="003450F1">
        <w:rPr>
          <w:rFonts w:ascii="Times New Roman" w:hAnsi="Times New Roman" w:cs="Times New Roman"/>
          <w:bCs/>
          <w:sz w:val="24"/>
          <w:szCs w:val="24"/>
          <w:lang w:val="en-US"/>
        </w:rPr>
        <w:t xml:space="preserve">remove </w:t>
      </w:r>
      <w:r w:rsidRPr="003450F1">
        <w:rPr>
          <w:rFonts w:ascii="Times New Roman" w:hAnsi="Times New Roman" w:cs="Times New Roman"/>
          <w:bCs/>
          <w:sz w:val="24"/>
          <w:szCs w:val="24"/>
          <w:lang w:val="en-US"/>
        </w:rPr>
        <w:t xml:space="preserve">illicit </w:t>
      </w:r>
      <w:r w:rsidR="00786EDA" w:rsidRPr="003450F1">
        <w:rPr>
          <w:rFonts w:ascii="Times New Roman" w:hAnsi="Times New Roman" w:cs="Times New Roman"/>
          <w:bCs/>
          <w:sz w:val="24"/>
          <w:szCs w:val="24"/>
          <w:lang w:val="en-US"/>
        </w:rPr>
        <w:t>infor</w:t>
      </w:r>
      <w:r w:rsidRPr="003450F1">
        <w:rPr>
          <w:rFonts w:ascii="Times New Roman" w:hAnsi="Times New Roman" w:cs="Times New Roman"/>
          <w:bCs/>
          <w:sz w:val="24"/>
          <w:szCs w:val="24"/>
          <w:lang w:val="en-US"/>
        </w:rPr>
        <w:t xml:space="preserve">mation or to make it inaccessible from the </w:t>
      </w:r>
      <w:r w:rsidR="00E85AE4" w:rsidRPr="003450F1">
        <w:rPr>
          <w:rFonts w:ascii="Times New Roman" w:hAnsi="Times New Roman" w:cs="Times New Roman"/>
          <w:bCs/>
          <w:sz w:val="24"/>
          <w:szCs w:val="24"/>
          <w:lang w:val="en-US"/>
        </w:rPr>
        <w:t>moment they have actual knowledge</w:t>
      </w:r>
      <w:r w:rsidR="009E1FC3" w:rsidRPr="003450F1">
        <w:rPr>
          <w:rStyle w:val="Odwoanieprzypisudolnego"/>
          <w:rFonts w:ascii="Times New Roman" w:hAnsi="Times New Roman" w:cs="Times New Roman"/>
          <w:bCs/>
          <w:sz w:val="24"/>
          <w:szCs w:val="24"/>
          <w:lang w:val="en-US"/>
        </w:rPr>
        <w:footnoteReference w:id="91"/>
      </w:r>
      <w:r w:rsidR="00E85AE4" w:rsidRPr="003450F1">
        <w:rPr>
          <w:rFonts w:ascii="Times New Roman" w:hAnsi="Times New Roman" w:cs="Times New Roman"/>
          <w:bCs/>
          <w:sz w:val="24"/>
          <w:szCs w:val="24"/>
          <w:lang w:val="en-US"/>
        </w:rPr>
        <w:t xml:space="preserve"> of the illicit activity or information.</w:t>
      </w:r>
      <w:r w:rsidR="00E85AE4" w:rsidRPr="003450F1">
        <w:rPr>
          <w:rStyle w:val="Odwoanieprzypisudolnego"/>
          <w:rFonts w:ascii="Times New Roman" w:hAnsi="Times New Roman" w:cs="Times New Roman"/>
          <w:bCs/>
          <w:sz w:val="24"/>
          <w:szCs w:val="24"/>
          <w:lang w:val="en-US"/>
        </w:rPr>
        <w:footnoteReference w:id="92"/>
      </w:r>
      <w:r w:rsidR="00E85AE4" w:rsidRPr="003450F1">
        <w:rPr>
          <w:rFonts w:ascii="Times New Roman" w:hAnsi="Times New Roman" w:cs="Times New Roman"/>
          <w:bCs/>
          <w:sz w:val="24"/>
          <w:szCs w:val="24"/>
          <w:lang w:val="en-US"/>
        </w:rPr>
        <w:t xml:space="preserve"> It should</w:t>
      </w:r>
      <w:r w:rsidR="00A00116" w:rsidRPr="003450F1">
        <w:rPr>
          <w:rFonts w:ascii="Times New Roman" w:hAnsi="Times New Roman" w:cs="Times New Roman"/>
          <w:bCs/>
          <w:sz w:val="24"/>
          <w:szCs w:val="24"/>
          <w:lang w:val="en-US"/>
        </w:rPr>
        <w:t>,</w:t>
      </w:r>
      <w:r w:rsidR="00E85AE4" w:rsidRPr="003450F1">
        <w:rPr>
          <w:rFonts w:ascii="Times New Roman" w:hAnsi="Times New Roman" w:cs="Times New Roman"/>
          <w:bCs/>
          <w:sz w:val="24"/>
          <w:szCs w:val="24"/>
          <w:lang w:val="en-US"/>
        </w:rPr>
        <w:t xml:space="preserve"> however</w:t>
      </w:r>
      <w:r w:rsidR="00A00116" w:rsidRPr="003450F1">
        <w:rPr>
          <w:rFonts w:ascii="Times New Roman" w:hAnsi="Times New Roman" w:cs="Times New Roman"/>
          <w:bCs/>
          <w:sz w:val="24"/>
          <w:szCs w:val="24"/>
          <w:lang w:val="en-US"/>
        </w:rPr>
        <w:t>,</w:t>
      </w:r>
      <w:r w:rsidR="00E85AE4" w:rsidRPr="003450F1">
        <w:rPr>
          <w:rFonts w:ascii="Times New Roman" w:hAnsi="Times New Roman" w:cs="Times New Roman"/>
          <w:bCs/>
          <w:sz w:val="24"/>
          <w:szCs w:val="24"/>
          <w:lang w:val="en-US"/>
        </w:rPr>
        <w:t xml:space="preserve"> be stressed that</w:t>
      </w:r>
      <w:r w:rsidR="00A00116" w:rsidRPr="003450F1">
        <w:rPr>
          <w:rFonts w:ascii="Times New Roman" w:hAnsi="Times New Roman" w:cs="Times New Roman"/>
          <w:bCs/>
          <w:sz w:val="24"/>
          <w:szCs w:val="24"/>
          <w:lang w:val="en-US"/>
        </w:rPr>
        <w:t>, generally speaking,</w:t>
      </w:r>
      <w:r w:rsidR="00E85AE4" w:rsidRPr="003450F1">
        <w:rPr>
          <w:rFonts w:ascii="Times New Roman" w:hAnsi="Times New Roman" w:cs="Times New Roman"/>
          <w:bCs/>
          <w:sz w:val="24"/>
          <w:szCs w:val="24"/>
          <w:lang w:val="en-US"/>
        </w:rPr>
        <w:t xml:space="preserve"> these service providers do not have an obligation to monitor the information they transmit or store, nor </w:t>
      </w:r>
      <w:r w:rsidR="00A00116" w:rsidRPr="003450F1">
        <w:rPr>
          <w:rFonts w:ascii="Times New Roman" w:hAnsi="Times New Roman" w:cs="Times New Roman"/>
          <w:bCs/>
          <w:sz w:val="24"/>
          <w:szCs w:val="24"/>
          <w:lang w:val="en-US"/>
        </w:rPr>
        <w:t>do they have a</w:t>
      </w:r>
      <w:r w:rsidR="00E85AE4" w:rsidRPr="003450F1">
        <w:rPr>
          <w:rFonts w:ascii="Times New Roman" w:hAnsi="Times New Roman" w:cs="Times New Roman"/>
          <w:bCs/>
          <w:sz w:val="24"/>
          <w:szCs w:val="24"/>
          <w:lang w:val="en-US"/>
        </w:rPr>
        <w:t xml:space="preserve"> general obligation to search actively for facts or circumstances indicating illicit</w:t>
      </w:r>
      <w:r w:rsidR="00524CDF" w:rsidRPr="003450F1">
        <w:rPr>
          <w:rFonts w:ascii="Times New Roman" w:hAnsi="Times New Roman" w:cs="Times New Roman"/>
          <w:bCs/>
          <w:sz w:val="24"/>
          <w:szCs w:val="24"/>
          <w:lang w:val="en-US"/>
        </w:rPr>
        <w:t xml:space="preserve"> activities,</w:t>
      </w:r>
      <w:r w:rsidR="00E85AE4" w:rsidRPr="003450F1">
        <w:rPr>
          <w:rStyle w:val="Odwoanieprzypisudolnego"/>
          <w:rFonts w:ascii="Times New Roman" w:hAnsi="Times New Roman" w:cs="Times New Roman"/>
          <w:bCs/>
          <w:sz w:val="24"/>
          <w:szCs w:val="24"/>
          <w:lang w:val="en-US"/>
        </w:rPr>
        <w:footnoteReference w:id="93"/>
      </w:r>
      <w:r w:rsidR="00E85AE4" w:rsidRPr="003450F1">
        <w:rPr>
          <w:rFonts w:ascii="Times New Roman" w:hAnsi="Times New Roman" w:cs="Times New Roman"/>
          <w:bCs/>
          <w:sz w:val="24"/>
          <w:szCs w:val="24"/>
          <w:lang w:val="en-US"/>
        </w:rPr>
        <w:t xml:space="preserve"> </w:t>
      </w:r>
      <w:r w:rsidR="00524CDF" w:rsidRPr="003450F1">
        <w:rPr>
          <w:rFonts w:ascii="Times New Roman" w:hAnsi="Times New Roman" w:cs="Times New Roman"/>
          <w:bCs/>
          <w:sz w:val="24"/>
          <w:szCs w:val="24"/>
          <w:lang w:val="en-US"/>
        </w:rPr>
        <w:t xml:space="preserve">with </w:t>
      </w:r>
      <w:r w:rsidR="000A6CA8" w:rsidRPr="003450F1">
        <w:rPr>
          <w:rFonts w:ascii="Times New Roman" w:hAnsi="Times New Roman" w:cs="Times New Roman"/>
          <w:bCs/>
          <w:sz w:val="24"/>
          <w:szCs w:val="24"/>
          <w:lang w:val="en-US"/>
        </w:rPr>
        <w:t xml:space="preserve">the </w:t>
      </w:r>
      <w:r w:rsidR="00524CDF" w:rsidRPr="003450F1">
        <w:rPr>
          <w:rFonts w:ascii="Times New Roman" w:hAnsi="Times New Roman" w:cs="Times New Roman"/>
          <w:bCs/>
          <w:sz w:val="24"/>
          <w:szCs w:val="24"/>
          <w:lang w:val="en-US"/>
        </w:rPr>
        <w:t xml:space="preserve">exception </w:t>
      </w:r>
      <w:r w:rsidR="000A6CA8" w:rsidRPr="003450F1">
        <w:rPr>
          <w:rFonts w:ascii="Times New Roman" w:hAnsi="Times New Roman" w:cs="Times New Roman"/>
          <w:bCs/>
          <w:sz w:val="24"/>
          <w:szCs w:val="24"/>
          <w:lang w:val="en-US"/>
        </w:rPr>
        <w:t xml:space="preserve">of </w:t>
      </w:r>
      <w:r w:rsidR="00524CDF" w:rsidRPr="003450F1">
        <w:rPr>
          <w:rFonts w:ascii="Times New Roman" w:hAnsi="Times New Roman" w:cs="Times New Roman"/>
          <w:bCs/>
          <w:sz w:val="24"/>
          <w:szCs w:val="24"/>
          <w:lang w:val="en-US"/>
        </w:rPr>
        <w:t>two offences.</w:t>
      </w:r>
      <w:r w:rsidR="00524CDF" w:rsidRPr="003450F1">
        <w:rPr>
          <w:rStyle w:val="Odwoanieprzypisudolnego"/>
          <w:rFonts w:ascii="Times New Roman" w:hAnsi="Times New Roman" w:cs="Times New Roman"/>
          <w:bCs/>
          <w:sz w:val="24"/>
          <w:szCs w:val="24"/>
          <w:lang w:val="en-US"/>
        </w:rPr>
        <w:footnoteReference w:id="94"/>
      </w:r>
      <w:r w:rsidR="00A00116" w:rsidRPr="003450F1">
        <w:rPr>
          <w:rFonts w:ascii="Times New Roman" w:hAnsi="Times New Roman" w:cs="Times New Roman"/>
          <w:bCs/>
          <w:sz w:val="24"/>
          <w:szCs w:val="24"/>
          <w:lang w:val="en-US"/>
        </w:rPr>
        <w:t xml:space="preserve"> </w:t>
      </w:r>
      <w:r w:rsidR="0056189B" w:rsidRPr="003450F1">
        <w:rPr>
          <w:rFonts w:ascii="Times New Roman" w:hAnsi="Times New Roman" w:cs="Times New Roman"/>
          <w:bCs/>
          <w:sz w:val="24"/>
          <w:szCs w:val="24"/>
          <w:lang w:val="en-US"/>
        </w:rPr>
        <w:t>A global supervisory or monitoring obligation would be unacceptable in light of the confidentiality of communications and the right to privacy.</w:t>
      </w:r>
      <w:r w:rsidR="0056189B" w:rsidRPr="003450F1">
        <w:rPr>
          <w:rStyle w:val="Odwoanieprzypisudolnego"/>
          <w:rFonts w:ascii="Times New Roman" w:hAnsi="Times New Roman" w:cs="Times New Roman"/>
          <w:bCs/>
          <w:sz w:val="24"/>
          <w:szCs w:val="24"/>
          <w:lang w:val="en-US"/>
        </w:rPr>
        <w:footnoteReference w:id="95"/>
      </w:r>
      <w:r w:rsidR="0056189B" w:rsidRPr="003450F1">
        <w:rPr>
          <w:rFonts w:ascii="Times New Roman" w:hAnsi="Times New Roman" w:cs="Times New Roman"/>
          <w:bCs/>
          <w:sz w:val="24"/>
          <w:szCs w:val="24"/>
          <w:lang w:val="en-US"/>
        </w:rPr>
        <w:t xml:space="preserve"> </w:t>
      </w:r>
      <w:r w:rsidR="00A00116" w:rsidRPr="003450F1">
        <w:rPr>
          <w:rFonts w:ascii="Times New Roman" w:hAnsi="Times New Roman" w:cs="Times New Roman"/>
          <w:bCs/>
          <w:sz w:val="24"/>
          <w:szCs w:val="24"/>
          <w:lang w:val="en-US"/>
        </w:rPr>
        <w:t xml:space="preserve">Of course, when judicial authorities order them to monitor a certain activity </w:t>
      </w:r>
      <w:r w:rsidR="00E97297" w:rsidRPr="003450F1">
        <w:rPr>
          <w:rFonts w:ascii="Times New Roman" w:hAnsi="Times New Roman" w:cs="Times New Roman"/>
          <w:bCs/>
          <w:sz w:val="24"/>
          <w:szCs w:val="24"/>
          <w:lang w:val="en-US"/>
        </w:rPr>
        <w:t xml:space="preserve">when this is necessary for </w:t>
      </w:r>
      <w:r w:rsidR="00370DF3" w:rsidRPr="003450F1">
        <w:rPr>
          <w:rFonts w:ascii="Times New Roman" w:hAnsi="Times New Roman" w:cs="Times New Roman"/>
          <w:bCs/>
          <w:sz w:val="24"/>
          <w:szCs w:val="24"/>
          <w:lang w:val="en-US"/>
        </w:rPr>
        <w:t>the protection of</w:t>
      </w:r>
      <w:r w:rsidR="00E97297" w:rsidRPr="003450F1">
        <w:rPr>
          <w:rFonts w:ascii="Times New Roman" w:hAnsi="Times New Roman" w:cs="Times New Roman"/>
          <w:bCs/>
          <w:sz w:val="24"/>
          <w:szCs w:val="24"/>
          <w:lang w:val="en-US"/>
        </w:rPr>
        <w:t xml:space="preserve"> public security or </w:t>
      </w:r>
      <w:r w:rsidR="00A00116" w:rsidRPr="003450F1">
        <w:rPr>
          <w:rFonts w:ascii="Times New Roman" w:hAnsi="Times New Roman" w:cs="Times New Roman"/>
          <w:bCs/>
          <w:sz w:val="24"/>
          <w:szCs w:val="24"/>
          <w:lang w:val="en-US"/>
        </w:rPr>
        <w:t>for the purpose of preventing, detecting, investigating or prosecuting criminal offences, they have an obligation to undertake such monitoring.</w:t>
      </w:r>
      <w:r w:rsidR="00A00116" w:rsidRPr="003450F1">
        <w:rPr>
          <w:rStyle w:val="Odwoanieprzypisudolnego"/>
          <w:rFonts w:ascii="Times New Roman" w:hAnsi="Times New Roman" w:cs="Times New Roman"/>
          <w:bCs/>
          <w:sz w:val="24"/>
          <w:szCs w:val="24"/>
          <w:lang w:val="en-US"/>
        </w:rPr>
        <w:footnoteReference w:id="96"/>
      </w:r>
      <w:r w:rsidR="00746EB5" w:rsidRPr="003450F1">
        <w:rPr>
          <w:rFonts w:ascii="Times New Roman" w:hAnsi="Times New Roman" w:cs="Times New Roman"/>
          <w:bCs/>
          <w:sz w:val="24"/>
          <w:szCs w:val="24"/>
          <w:lang w:val="en-US"/>
        </w:rPr>
        <w:t xml:space="preserve"> In sum, </w:t>
      </w:r>
      <w:r w:rsidR="00370DF3" w:rsidRPr="003450F1">
        <w:rPr>
          <w:rFonts w:ascii="Times New Roman" w:hAnsi="Times New Roman" w:cs="Times New Roman"/>
          <w:bCs/>
          <w:sz w:val="24"/>
          <w:szCs w:val="24"/>
          <w:lang w:val="en-US"/>
        </w:rPr>
        <w:t>the legislator concluded</w:t>
      </w:r>
      <w:r w:rsidR="00746EB5" w:rsidRPr="003450F1">
        <w:rPr>
          <w:rFonts w:ascii="Times New Roman" w:hAnsi="Times New Roman" w:cs="Times New Roman"/>
          <w:bCs/>
          <w:sz w:val="24"/>
          <w:szCs w:val="24"/>
          <w:lang w:val="en-US"/>
        </w:rPr>
        <w:t xml:space="preserve"> </w:t>
      </w:r>
      <w:r w:rsidR="00370DF3" w:rsidRPr="003450F1">
        <w:rPr>
          <w:rFonts w:ascii="Times New Roman" w:hAnsi="Times New Roman" w:cs="Times New Roman"/>
          <w:bCs/>
          <w:sz w:val="24"/>
          <w:szCs w:val="24"/>
          <w:lang w:val="en-US"/>
        </w:rPr>
        <w:t xml:space="preserve">there was no </w:t>
      </w:r>
      <w:r w:rsidR="00746EB5" w:rsidRPr="003450F1">
        <w:rPr>
          <w:rFonts w:ascii="Times New Roman" w:hAnsi="Times New Roman" w:cs="Times New Roman"/>
          <w:bCs/>
          <w:sz w:val="24"/>
          <w:szCs w:val="24"/>
          <w:lang w:val="en-US"/>
        </w:rPr>
        <w:t xml:space="preserve">need to adopt another express provision for the implementation of Article 25 (2) of the 2013 </w:t>
      </w:r>
      <w:r w:rsidR="00746EB5" w:rsidRPr="003450F1">
        <w:rPr>
          <w:rFonts w:ascii="Times New Roman" w:hAnsi="Times New Roman" w:cs="Times New Roman"/>
          <w:sz w:val="24"/>
          <w:szCs w:val="24"/>
          <w:lang w:val="en-US"/>
        </w:rPr>
        <w:t>Child Abuse Directive.</w:t>
      </w:r>
      <w:r w:rsidR="00746EB5" w:rsidRPr="003450F1">
        <w:rPr>
          <w:rStyle w:val="Odwoanieprzypisudolnego"/>
          <w:rFonts w:ascii="Times New Roman" w:hAnsi="Times New Roman" w:cs="Times New Roman"/>
          <w:sz w:val="24"/>
          <w:szCs w:val="24"/>
          <w:lang w:val="en-US"/>
        </w:rPr>
        <w:footnoteReference w:id="97"/>
      </w:r>
      <w:r w:rsidR="00746EB5" w:rsidRPr="003450F1">
        <w:rPr>
          <w:rFonts w:ascii="Times New Roman" w:hAnsi="Times New Roman" w:cs="Times New Roman"/>
          <w:sz w:val="24"/>
          <w:szCs w:val="24"/>
          <w:lang w:val="en-US"/>
        </w:rPr>
        <w:t xml:space="preserve"> </w:t>
      </w:r>
    </w:p>
    <w:p w14:paraId="30106398" w14:textId="3E9C54DF" w:rsidR="00984CB5" w:rsidRPr="003450F1" w:rsidRDefault="00746EB5"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t>Nevertheless, despite the fact that Luxembourgish judicial authorities have the power to take down a website or to block illegal conten</w:t>
      </w:r>
      <w:r w:rsidR="00370DF3" w:rsidRPr="003450F1">
        <w:rPr>
          <w:rFonts w:ascii="Times New Roman" w:hAnsi="Times New Roman" w:cs="Times New Roman"/>
          <w:bCs/>
          <w:sz w:val="24"/>
          <w:szCs w:val="24"/>
          <w:lang w:val="en-US"/>
        </w:rPr>
        <w:t>t, it appears they do not use this power</w:t>
      </w:r>
      <w:r w:rsidRPr="003450F1">
        <w:rPr>
          <w:rFonts w:ascii="Times New Roman" w:hAnsi="Times New Roman" w:cs="Times New Roman"/>
          <w:bCs/>
          <w:sz w:val="24"/>
          <w:szCs w:val="24"/>
          <w:lang w:val="en-US"/>
        </w:rPr>
        <w:t xml:space="preserve"> very often</w:t>
      </w:r>
      <w:r w:rsidR="00977DEC" w:rsidRPr="003450F1">
        <w:rPr>
          <w:rFonts w:ascii="Times New Roman" w:hAnsi="Times New Roman" w:cs="Times New Roman"/>
          <w:bCs/>
          <w:sz w:val="24"/>
          <w:szCs w:val="24"/>
          <w:lang w:val="en-US"/>
        </w:rPr>
        <w:t xml:space="preserve"> in practice</w:t>
      </w:r>
      <w:r w:rsidRPr="003450F1">
        <w:rPr>
          <w:rFonts w:ascii="Times New Roman" w:hAnsi="Times New Roman" w:cs="Times New Roman"/>
          <w:bCs/>
          <w:sz w:val="24"/>
          <w:szCs w:val="24"/>
          <w:lang w:val="en-US"/>
        </w:rPr>
        <w:t>.</w:t>
      </w:r>
      <w:r w:rsidR="00977DEC" w:rsidRPr="003450F1">
        <w:rPr>
          <w:rFonts w:ascii="Times New Roman" w:hAnsi="Times New Roman" w:cs="Times New Roman"/>
          <w:bCs/>
          <w:sz w:val="24"/>
          <w:szCs w:val="24"/>
          <w:lang w:val="en-US"/>
        </w:rPr>
        <w:t xml:space="preserve"> </w:t>
      </w:r>
      <w:r w:rsidR="00370DF3" w:rsidRPr="003450F1">
        <w:rPr>
          <w:rFonts w:ascii="Times New Roman" w:hAnsi="Times New Roman" w:cs="Times New Roman"/>
          <w:bCs/>
          <w:sz w:val="24"/>
          <w:szCs w:val="24"/>
          <w:lang w:val="en-US"/>
        </w:rPr>
        <w:t xml:space="preserve">Apparently, </w:t>
      </w:r>
      <w:r w:rsidR="00F239A7" w:rsidRPr="003450F1">
        <w:rPr>
          <w:rFonts w:ascii="Times New Roman" w:hAnsi="Times New Roman" w:cs="Times New Roman"/>
          <w:bCs/>
          <w:sz w:val="24"/>
          <w:szCs w:val="24"/>
          <w:lang w:val="en-US"/>
        </w:rPr>
        <w:t xml:space="preserve">the service providers </w:t>
      </w:r>
      <w:r w:rsidR="00984CB5" w:rsidRPr="003450F1">
        <w:rPr>
          <w:rFonts w:ascii="Times New Roman" w:hAnsi="Times New Roman" w:cs="Times New Roman"/>
          <w:bCs/>
          <w:sz w:val="24"/>
          <w:szCs w:val="24"/>
          <w:lang w:val="en-US"/>
        </w:rPr>
        <w:t xml:space="preserve">usually </w:t>
      </w:r>
      <w:r w:rsidR="00F239A7" w:rsidRPr="003450F1">
        <w:rPr>
          <w:rFonts w:ascii="Times New Roman" w:hAnsi="Times New Roman" w:cs="Times New Roman"/>
          <w:bCs/>
          <w:sz w:val="24"/>
          <w:szCs w:val="24"/>
          <w:lang w:val="en-US"/>
        </w:rPr>
        <w:t xml:space="preserve">take care of such measures themselves, </w:t>
      </w:r>
      <w:r w:rsidR="00977DEC" w:rsidRPr="003450F1">
        <w:rPr>
          <w:rFonts w:ascii="Times New Roman" w:hAnsi="Times New Roman" w:cs="Times New Roman"/>
          <w:bCs/>
          <w:sz w:val="24"/>
          <w:szCs w:val="24"/>
          <w:lang w:val="en-US"/>
        </w:rPr>
        <w:t xml:space="preserve">very often triggered by </w:t>
      </w:r>
      <w:r w:rsidR="00F239A7" w:rsidRPr="003450F1">
        <w:rPr>
          <w:rFonts w:ascii="Times New Roman" w:hAnsi="Times New Roman" w:cs="Times New Roman"/>
          <w:bCs/>
          <w:sz w:val="24"/>
          <w:szCs w:val="24"/>
          <w:lang w:val="en-US"/>
        </w:rPr>
        <w:t xml:space="preserve">a private complaint on their hotline. This private complaint system seems to </w:t>
      </w:r>
      <w:r w:rsidR="00370DF3" w:rsidRPr="003450F1">
        <w:rPr>
          <w:rFonts w:ascii="Times New Roman" w:hAnsi="Times New Roman" w:cs="Times New Roman"/>
          <w:bCs/>
          <w:sz w:val="24"/>
          <w:szCs w:val="24"/>
          <w:lang w:val="en-US"/>
        </w:rPr>
        <w:t xml:space="preserve">be </w:t>
      </w:r>
      <w:r w:rsidR="00F239A7" w:rsidRPr="003450F1">
        <w:rPr>
          <w:rFonts w:ascii="Times New Roman" w:hAnsi="Times New Roman" w:cs="Times New Roman"/>
          <w:bCs/>
          <w:sz w:val="24"/>
          <w:szCs w:val="24"/>
          <w:lang w:val="en-US"/>
        </w:rPr>
        <w:t xml:space="preserve">quite </w:t>
      </w:r>
      <w:r w:rsidR="00370DF3" w:rsidRPr="003450F1">
        <w:rPr>
          <w:rFonts w:ascii="Times New Roman" w:hAnsi="Times New Roman" w:cs="Times New Roman"/>
          <w:bCs/>
          <w:sz w:val="24"/>
          <w:szCs w:val="24"/>
          <w:lang w:val="en-US"/>
        </w:rPr>
        <w:t>effective</w:t>
      </w:r>
      <w:r w:rsidR="00F239A7" w:rsidRPr="003450F1">
        <w:rPr>
          <w:rFonts w:ascii="Times New Roman" w:hAnsi="Times New Roman" w:cs="Times New Roman"/>
          <w:bCs/>
          <w:sz w:val="24"/>
          <w:szCs w:val="24"/>
          <w:lang w:val="en-US"/>
        </w:rPr>
        <w:t xml:space="preserve">. </w:t>
      </w:r>
    </w:p>
    <w:p w14:paraId="7FC99117" w14:textId="0E70BFA3" w:rsidR="0018277A" w:rsidRPr="003450F1" w:rsidRDefault="00F239A7" w:rsidP="001A711E">
      <w:pPr>
        <w:pStyle w:val="Hoofdtekst"/>
        <w:spacing w:after="120"/>
        <w:jc w:val="both"/>
        <w:rPr>
          <w:rFonts w:ascii="Times New Roman" w:hAnsi="Times New Roman" w:cs="Times New Roman"/>
          <w:bCs/>
          <w:sz w:val="24"/>
          <w:szCs w:val="24"/>
          <w:lang w:val="en-US"/>
        </w:rPr>
      </w:pPr>
      <w:r w:rsidRPr="003450F1">
        <w:rPr>
          <w:rFonts w:ascii="Times New Roman" w:hAnsi="Times New Roman" w:cs="Times New Roman"/>
          <w:bCs/>
          <w:sz w:val="24"/>
          <w:szCs w:val="24"/>
          <w:lang w:val="en-US"/>
        </w:rPr>
        <w:lastRenderedPageBreak/>
        <w:t xml:space="preserve">In addition to </w:t>
      </w:r>
      <w:r w:rsidR="00977DEC" w:rsidRPr="003450F1">
        <w:rPr>
          <w:rFonts w:ascii="Times New Roman" w:hAnsi="Times New Roman" w:cs="Times New Roman"/>
          <w:bCs/>
          <w:sz w:val="24"/>
          <w:szCs w:val="24"/>
          <w:lang w:val="en-US"/>
        </w:rPr>
        <w:t>the foregoing</w:t>
      </w:r>
      <w:r w:rsidRPr="003450F1">
        <w:rPr>
          <w:rFonts w:ascii="Times New Roman" w:hAnsi="Times New Roman" w:cs="Times New Roman"/>
          <w:bCs/>
          <w:sz w:val="24"/>
          <w:szCs w:val="24"/>
          <w:lang w:val="en-US"/>
        </w:rPr>
        <w:t xml:space="preserve">, there is a national online hotline for reporting illegal content, namely the BEE SECURE </w:t>
      </w:r>
      <w:proofErr w:type="spellStart"/>
      <w:r w:rsidRPr="003450F1">
        <w:rPr>
          <w:rFonts w:ascii="Times New Roman" w:hAnsi="Times New Roman" w:cs="Times New Roman"/>
          <w:bCs/>
          <w:sz w:val="24"/>
          <w:szCs w:val="24"/>
          <w:lang w:val="en-US"/>
        </w:rPr>
        <w:t>Stopline</w:t>
      </w:r>
      <w:proofErr w:type="spellEnd"/>
      <w:r w:rsidRPr="003450F1">
        <w:rPr>
          <w:rFonts w:ascii="Times New Roman" w:hAnsi="Times New Roman" w:cs="Times New Roman"/>
          <w:bCs/>
          <w:sz w:val="24"/>
          <w:szCs w:val="24"/>
          <w:lang w:val="en-US"/>
        </w:rPr>
        <w:t>,</w:t>
      </w:r>
      <w:r w:rsidRPr="003450F1">
        <w:rPr>
          <w:rStyle w:val="Odwoanieprzypisudolnego"/>
          <w:rFonts w:ascii="Times New Roman" w:hAnsi="Times New Roman" w:cs="Times New Roman"/>
          <w:bCs/>
          <w:sz w:val="24"/>
          <w:szCs w:val="24"/>
          <w:lang w:val="en-US"/>
        </w:rPr>
        <w:footnoteReference w:id="98"/>
      </w:r>
      <w:r w:rsidRPr="003450F1">
        <w:rPr>
          <w:rFonts w:ascii="Times New Roman" w:hAnsi="Times New Roman" w:cs="Times New Roman"/>
          <w:bCs/>
          <w:sz w:val="24"/>
          <w:szCs w:val="24"/>
          <w:lang w:val="en-US"/>
        </w:rPr>
        <w:t xml:space="preserve"> which cooperate</w:t>
      </w:r>
      <w:r w:rsidR="00984CB5" w:rsidRPr="003450F1">
        <w:rPr>
          <w:rFonts w:ascii="Times New Roman" w:hAnsi="Times New Roman" w:cs="Times New Roman"/>
          <w:bCs/>
          <w:sz w:val="24"/>
          <w:szCs w:val="24"/>
          <w:lang w:val="en-US"/>
        </w:rPr>
        <w:t>s</w:t>
      </w:r>
      <w:r w:rsidRPr="003450F1">
        <w:rPr>
          <w:rFonts w:ascii="Times New Roman" w:hAnsi="Times New Roman" w:cs="Times New Roman"/>
          <w:bCs/>
          <w:sz w:val="24"/>
          <w:szCs w:val="24"/>
          <w:lang w:val="en-US"/>
        </w:rPr>
        <w:t xml:space="preserve"> with the police in Luxembourg and </w:t>
      </w:r>
      <w:r w:rsidR="00370DF3" w:rsidRPr="003450F1">
        <w:rPr>
          <w:rFonts w:ascii="Times New Roman" w:hAnsi="Times New Roman" w:cs="Times New Roman"/>
          <w:bCs/>
          <w:sz w:val="24"/>
          <w:szCs w:val="24"/>
          <w:lang w:val="en-US"/>
        </w:rPr>
        <w:t xml:space="preserve">which </w:t>
      </w:r>
      <w:r w:rsidRPr="003450F1">
        <w:rPr>
          <w:rFonts w:ascii="Times New Roman" w:hAnsi="Times New Roman" w:cs="Times New Roman"/>
          <w:bCs/>
          <w:sz w:val="24"/>
          <w:szCs w:val="24"/>
          <w:lang w:val="en-US"/>
        </w:rPr>
        <w:t>is part of the international INHOPE network.</w:t>
      </w:r>
    </w:p>
    <w:p w14:paraId="2AD8FB67" w14:textId="77777777" w:rsidR="00DB3026" w:rsidRPr="003450F1" w:rsidRDefault="00DB3026" w:rsidP="001A711E">
      <w:pPr>
        <w:pStyle w:val="Hoofdtekst"/>
        <w:spacing w:after="120"/>
        <w:jc w:val="both"/>
        <w:rPr>
          <w:rFonts w:ascii="Times New Roman" w:hAnsi="Times New Roman" w:cs="Times New Roman"/>
          <w:sz w:val="24"/>
          <w:szCs w:val="24"/>
          <w:lang w:val="en-US"/>
        </w:rPr>
      </w:pPr>
    </w:p>
    <w:p w14:paraId="72D00C26" w14:textId="77777777"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9. Where there any research projects concerning cooperation between LEAs and ISPs/IAPs in fighting cybercrime in your country? If yes, please specify and shortly describe the results. What are the main problems of cooperation?</w:t>
      </w:r>
    </w:p>
    <w:p w14:paraId="326F041E" w14:textId="7637ADC1" w:rsidR="001A711E" w:rsidRPr="003450F1" w:rsidRDefault="00370DF3"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For the time being, l</w:t>
      </w:r>
      <w:r w:rsidR="001A711E" w:rsidRPr="003450F1">
        <w:rPr>
          <w:rFonts w:ascii="Times New Roman" w:hAnsi="Times New Roman" w:cs="Times New Roman"/>
          <w:sz w:val="24"/>
          <w:szCs w:val="24"/>
          <w:lang w:val="en-US"/>
        </w:rPr>
        <w:t xml:space="preserve">egal research on the cooperation between </w:t>
      </w:r>
      <w:r w:rsidRPr="003450F1">
        <w:rPr>
          <w:rFonts w:ascii="Times New Roman" w:hAnsi="Times New Roman" w:cs="Times New Roman"/>
          <w:sz w:val="24"/>
          <w:szCs w:val="24"/>
          <w:lang w:val="en-US"/>
        </w:rPr>
        <w:t>judicial authorities</w:t>
      </w:r>
      <w:r w:rsidR="001A711E" w:rsidRPr="003450F1">
        <w:rPr>
          <w:rFonts w:ascii="Times New Roman" w:hAnsi="Times New Roman" w:cs="Times New Roman"/>
          <w:sz w:val="24"/>
          <w:szCs w:val="24"/>
          <w:lang w:val="en-US"/>
        </w:rPr>
        <w:t xml:space="preserve"> and ISPs/IAPs from a criminal law perspective is very limited in Luxembourg. We could only retrieve two (policy) reports concerning the fight against cybercrime, one in the context of the Global Alliance against Online Sexual Abuse of Children, and one submitted to CODEXTER, the Council of Europe Committee of Experts on Terrorism, on the use of the </w:t>
      </w:r>
      <w:r w:rsidR="00F07A13" w:rsidRPr="003450F1">
        <w:rPr>
          <w:rFonts w:ascii="Times New Roman" w:hAnsi="Times New Roman" w:cs="Times New Roman"/>
          <w:sz w:val="24"/>
          <w:szCs w:val="24"/>
          <w:lang w:val="en-US"/>
        </w:rPr>
        <w:t>Internet</w:t>
      </w:r>
      <w:r w:rsidR="001A711E" w:rsidRPr="003450F1">
        <w:rPr>
          <w:rFonts w:ascii="Times New Roman" w:hAnsi="Times New Roman" w:cs="Times New Roman"/>
          <w:sz w:val="24"/>
          <w:szCs w:val="24"/>
          <w:lang w:val="en-US"/>
        </w:rPr>
        <w:t xml:space="preserve"> for terrorist purposes. Nevertheless, these reports give some valuable insights into the remaining concerns and g</w:t>
      </w:r>
      <w:r w:rsidRPr="003450F1">
        <w:rPr>
          <w:rFonts w:ascii="Times New Roman" w:hAnsi="Times New Roman" w:cs="Times New Roman"/>
          <w:sz w:val="24"/>
          <w:szCs w:val="24"/>
          <w:lang w:val="en-US"/>
        </w:rPr>
        <w:t>aps in the Luxembourgish system, as the following excerpts illustrate.</w:t>
      </w:r>
    </w:p>
    <w:p w14:paraId="67FDC58B" w14:textId="363534D1" w:rsidR="001A711E" w:rsidRPr="003450F1" w:rsidRDefault="00370DF3" w:rsidP="001A711E">
      <w:pPr>
        <w:pStyle w:val="Hoofdtekst"/>
        <w:spacing w:after="120"/>
        <w:jc w:val="both"/>
        <w:rPr>
          <w:rFonts w:ascii="Times New Roman" w:hAnsi="Times New Roman" w:cs="Times New Roman"/>
          <w:b/>
          <w:sz w:val="24"/>
          <w:szCs w:val="24"/>
          <w:lang w:val="en-US"/>
        </w:rPr>
      </w:pPr>
      <w:r w:rsidRPr="003450F1">
        <w:rPr>
          <w:rFonts w:ascii="Times New Roman" w:hAnsi="Times New Roman" w:cs="Times New Roman"/>
          <w:b/>
          <w:sz w:val="24"/>
          <w:szCs w:val="24"/>
          <w:lang w:val="en-US"/>
        </w:rPr>
        <w:t>- Global Alliance a</w:t>
      </w:r>
      <w:r w:rsidR="001A711E" w:rsidRPr="003450F1">
        <w:rPr>
          <w:rFonts w:ascii="Times New Roman" w:hAnsi="Times New Roman" w:cs="Times New Roman"/>
          <w:b/>
          <w:sz w:val="24"/>
          <w:szCs w:val="24"/>
          <w:lang w:val="en-US"/>
        </w:rPr>
        <w:t>gainst Child Sexual Abuse Online – 2014 Reporting Form of Luxembourg</w:t>
      </w:r>
      <w:r w:rsidR="001A711E" w:rsidRPr="003450F1">
        <w:rPr>
          <w:rStyle w:val="Odwoanieprzypisudolnego"/>
          <w:rFonts w:ascii="Times New Roman" w:hAnsi="Times New Roman" w:cs="Times New Roman"/>
          <w:b/>
          <w:sz w:val="24"/>
          <w:szCs w:val="24"/>
          <w:lang w:val="en-US"/>
        </w:rPr>
        <w:footnoteReference w:id="99"/>
      </w:r>
    </w:p>
    <w:p w14:paraId="0D904CC0" w14:textId="1662BD46" w:rsidR="001A711E" w:rsidRPr="003450F1" w:rsidRDefault="00370DF3"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 xml:space="preserve">The national legislation has not (yet) been adapted in order to regulate the cooperation between law enforcement authorities and the private actors, whose infrastructure and services are used to disseminate child sexual abuse material. In fact, as the cooperation which is based on a non-written gentlemen agreement is excellent and works very well in practice, there was no urgent need for the legislator to intervene in this specific area. </w:t>
      </w:r>
    </w:p>
    <w:p w14:paraId="73DD20C3" w14:textId="23EEA519" w:rsidR="001A711E" w:rsidRPr="003450F1" w:rsidRDefault="00370DF3" w:rsidP="001A711E">
      <w:pPr>
        <w:pStyle w:val="Hoofdtekst"/>
        <w:spacing w:after="120"/>
        <w:ind w:firstLine="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t>
      </w:r>
      <w:r w:rsidR="001A711E" w:rsidRPr="003450F1">
        <w:rPr>
          <w:rFonts w:ascii="Times New Roman" w:hAnsi="Times New Roman" w:cs="Times New Roman"/>
          <w:sz w:val="24"/>
          <w:szCs w:val="24"/>
          <w:lang w:val="en-US"/>
        </w:rPr>
        <w:t xml:space="preserve"> </w:t>
      </w:r>
    </w:p>
    <w:p w14:paraId="053ECFD4" w14:textId="46A392F7" w:rsidR="001A711E" w:rsidRPr="003450F1" w:rsidRDefault="001A711E"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At the moment we are still trying to find solutions in cooperation with foreign law enforcement authorities and private actors in order to find technological solutions and to improve our computer tools in order to enhance the identification and prosecution of offenders of child sexual abuse.</w:t>
      </w:r>
      <w:r w:rsidR="008D0E93" w:rsidRPr="003450F1">
        <w:rPr>
          <w:rFonts w:ascii="Times New Roman" w:hAnsi="Times New Roman" w:cs="Times New Roman"/>
          <w:sz w:val="24"/>
          <w:szCs w:val="24"/>
          <w:lang w:val="en-US"/>
        </w:rPr>
        <w:t>’</w:t>
      </w:r>
      <w:r w:rsidR="008D0E93" w:rsidRPr="003450F1">
        <w:rPr>
          <w:rStyle w:val="Odwoanieprzypisudolnego"/>
          <w:rFonts w:ascii="Times New Roman" w:hAnsi="Times New Roman" w:cs="Times New Roman"/>
          <w:sz w:val="24"/>
          <w:szCs w:val="24"/>
          <w:lang w:val="en-US"/>
        </w:rPr>
        <w:footnoteReference w:id="100"/>
      </w:r>
      <w:r w:rsidRPr="003450F1">
        <w:rPr>
          <w:rFonts w:ascii="Times New Roman" w:hAnsi="Times New Roman" w:cs="Times New Roman"/>
          <w:sz w:val="24"/>
          <w:szCs w:val="24"/>
          <w:lang w:val="en-US"/>
        </w:rPr>
        <w:t xml:space="preserve"> </w:t>
      </w:r>
    </w:p>
    <w:p w14:paraId="04CA34F7" w14:textId="6F28B3E1" w:rsidR="001A711E" w:rsidRPr="003450F1" w:rsidRDefault="008D0E93" w:rsidP="001A711E">
      <w:pPr>
        <w:pStyle w:val="Hoofdtekst"/>
        <w:spacing w:after="120"/>
        <w:ind w:left="708"/>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‘We have to say that 1-click-hosters represent</w:t>
      </w:r>
      <w:r w:rsidR="001A711E" w:rsidRPr="003450F1">
        <w:rPr>
          <w:rFonts w:ascii="Times New Roman" w:hAnsi="Times New Roman" w:cs="Times New Roman"/>
          <w:sz w:val="24"/>
          <w:szCs w:val="24"/>
          <w:lang w:val="en-US"/>
        </w:rPr>
        <w:t xml:space="preserve"> actual</w:t>
      </w:r>
      <w:r w:rsidRPr="003450F1">
        <w:rPr>
          <w:rFonts w:ascii="Times New Roman" w:hAnsi="Times New Roman" w:cs="Times New Roman"/>
          <w:sz w:val="24"/>
          <w:szCs w:val="24"/>
          <w:lang w:val="en-US"/>
        </w:rPr>
        <w:t>ly a</w:t>
      </w:r>
      <w:r w:rsidR="001A711E" w:rsidRPr="003450F1">
        <w:rPr>
          <w:rFonts w:ascii="Times New Roman" w:hAnsi="Times New Roman" w:cs="Times New Roman"/>
          <w:sz w:val="24"/>
          <w:szCs w:val="24"/>
          <w:lang w:val="en-US"/>
        </w:rPr>
        <w:t xml:space="preserve"> problem, because it is nearly impossible to effectively take down links, as the content may disappear from national servers, but may reappear elsewhere in the world on servers from the same </w:t>
      </w:r>
      <w:proofErr w:type="spellStart"/>
      <w:r w:rsidR="001A711E" w:rsidRPr="003450F1">
        <w:rPr>
          <w:rFonts w:ascii="Times New Roman" w:hAnsi="Times New Roman" w:cs="Times New Roman"/>
          <w:sz w:val="24"/>
          <w:szCs w:val="24"/>
          <w:lang w:val="en-US"/>
        </w:rPr>
        <w:t>hoster</w:t>
      </w:r>
      <w:proofErr w:type="spellEnd"/>
      <w:r w:rsidR="001A711E" w:rsidRPr="003450F1">
        <w:rPr>
          <w:rFonts w:ascii="Times New Roman" w:hAnsi="Times New Roman" w:cs="Times New Roman"/>
          <w:sz w:val="24"/>
          <w:szCs w:val="24"/>
          <w:lang w:val="en-US"/>
        </w:rPr>
        <w:t>. This results in bad interpretation of effective notice and bad int</w:t>
      </w:r>
      <w:r w:rsidR="00370DF3" w:rsidRPr="003450F1">
        <w:rPr>
          <w:rFonts w:ascii="Times New Roman" w:hAnsi="Times New Roman" w:cs="Times New Roman"/>
          <w:sz w:val="24"/>
          <w:szCs w:val="24"/>
          <w:lang w:val="en-US"/>
        </w:rPr>
        <w:t>erpretation of take down times.’</w:t>
      </w:r>
      <w:r w:rsidRPr="003450F1">
        <w:rPr>
          <w:rStyle w:val="Odwoanieprzypisudolnego"/>
          <w:rFonts w:ascii="Times New Roman" w:hAnsi="Times New Roman" w:cs="Times New Roman"/>
          <w:sz w:val="24"/>
          <w:szCs w:val="24"/>
          <w:lang w:val="en-US"/>
        </w:rPr>
        <w:footnoteReference w:id="101"/>
      </w:r>
    </w:p>
    <w:p w14:paraId="5C5E87E0" w14:textId="5111BF3F" w:rsidR="001A711E" w:rsidRPr="003450F1" w:rsidRDefault="001A711E" w:rsidP="001A711E">
      <w:pPr>
        <w:pStyle w:val="Hoofdtekst"/>
        <w:spacing w:after="120"/>
        <w:jc w:val="both"/>
        <w:rPr>
          <w:rFonts w:ascii="Times New Roman" w:hAnsi="Times New Roman" w:cs="Times New Roman"/>
          <w:b/>
          <w:sz w:val="24"/>
          <w:szCs w:val="24"/>
          <w:lang w:val="en-US"/>
        </w:rPr>
      </w:pPr>
      <w:r w:rsidRPr="003450F1">
        <w:rPr>
          <w:rFonts w:ascii="Times New Roman" w:hAnsi="Times New Roman" w:cs="Times New Roman"/>
          <w:b/>
          <w:sz w:val="24"/>
          <w:szCs w:val="24"/>
          <w:lang w:val="en-US"/>
        </w:rPr>
        <w:t>- CODEXTER report on the use of the internet for terrorist purposes in Luxembourg, October 2007</w:t>
      </w:r>
      <w:r w:rsidRPr="003450F1">
        <w:rPr>
          <w:rStyle w:val="Odwoanieprzypisudolnego"/>
          <w:rFonts w:ascii="Times New Roman" w:hAnsi="Times New Roman" w:cs="Times New Roman"/>
          <w:b/>
          <w:sz w:val="24"/>
          <w:szCs w:val="24"/>
          <w:lang w:val="en-US"/>
        </w:rPr>
        <w:footnoteReference w:id="102"/>
      </w:r>
      <w:r w:rsidRPr="003450F1">
        <w:rPr>
          <w:rFonts w:ascii="Times New Roman" w:hAnsi="Times New Roman" w:cs="Times New Roman"/>
          <w:b/>
          <w:sz w:val="24"/>
          <w:szCs w:val="24"/>
          <w:lang w:val="en-US"/>
        </w:rPr>
        <w:t>:</w:t>
      </w:r>
    </w:p>
    <w:p w14:paraId="318F734B" w14:textId="3D0C09DC" w:rsidR="001A711E" w:rsidRPr="003450F1" w:rsidRDefault="00370DF3" w:rsidP="001A71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color w:val="141215"/>
          <w:bdr w:val="none" w:sz="0" w:space="0" w:color="auto"/>
          <w:lang w:eastAsia="nl-NL"/>
        </w:rPr>
      </w:pPr>
      <w:r w:rsidRPr="003450F1">
        <w:rPr>
          <w:rFonts w:eastAsiaTheme="minorEastAsia"/>
          <w:color w:val="141215"/>
          <w:bdr w:val="none" w:sz="0" w:space="0" w:color="auto"/>
          <w:lang w:eastAsia="nl-NL"/>
        </w:rPr>
        <w:t>‘</w:t>
      </w:r>
      <w:r w:rsidR="001A711E" w:rsidRPr="003450F1">
        <w:rPr>
          <w:rFonts w:eastAsiaTheme="minorEastAsia"/>
          <w:color w:val="141215"/>
          <w:bdr w:val="none" w:sz="0" w:space="0" w:color="auto"/>
          <w:lang w:eastAsia="nl-NL"/>
        </w:rPr>
        <w:t>It is self-evident that in practice, the police – and the State intelligence service as the case may be – are faced with the same technical problems as the corresponding departments of other states, in particular the rapid development of technology,</w:t>
      </w:r>
      <w:r w:rsidRPr="003450F1">
        <w:rPr>
          <w:rFonts w:eastAsiaTheme="minorEastAsia"/>
          <w:color w:val="141215"/>
          <w:bdr w:val="none" w:sz="0" w:space="0" w:color="auto"/>
          <w:lang w:eastAsia="nl-NL"/>
        </w:rPr>
        <w:t xml:space="preserve"> efficient encoding tools, etc.’</w:t>
      </w:r>
      <w:r w:rsidR="001A711E" w:rsidRPr="003450F1">
        <w:rPr>
          <w:rStyle w:val="Odwoanieprzypisudolnego"/>
          <w:rFonts w:eastAsiaTheme="minorEastAsia"/>
          <w:color w:val="141215"/>
          <w:bdr w:val="none" w:sz="0" w:space="0" w:color="auto"/>
          <w:lang w:eastAsia="nl-NL"/>
        </w:rPr>
        <w:footnoteReference w:id="103"/>
      </w:r>
    </w:p>
    <w:p w14:paraId="6746D2B2" w14:textId="5FD9CA4E" w:rsidR="001A711E" w:rsidRPr="003450F1" w:rsidRDefault="00370DF3" w:rsidP="001A711E">
      <w:pPr>
        <w:spacing w:after="120"/>
        <w:ind w:left="708"/>
        <w:jc w:val="both"/>
        <w:rPr>
          <w:rFonts w:eastAsiaTheme="minorEastAsia"/>
          <w:color w:val="141215"/>
          <w:bdr w:val="none" w:sz="0" w:space="0" w:color="auto"/>
          <w:lang w:eastAsia="nl-NL"/>
        </w:rPr>
      </w:pPr>
      <w:r w:rsidRPr="003450F1">
        <w:rPr>
          <w:rFonts w:eastAsiaTheme="minorEastAsia"/>
          <w:color w:val="141215"/>
          <w:bdr w:val="none" w:sz="0" w:space="0" w:color="auto"/>
          <w:lang w:eastAsia="nl-NL"/>
        </w:rPr>
        <w:t>‘</w:t>
      </w:r>
      <w:r w:rsidR="001A711E" w:rsidRPr="003450F1">
        <w:rPr>
          <w:rFonts w:eastAsiaTheme="minorEastAsia"/>
          <w:color w:val="141215"/>
          <w:bdr w:val="none" w:sz="0" w:space="0" w:color="auto"/>
          <w:lang w:eastAsia="nl-NL"/>
        </w:rPr>
        <w:t xml:space="preserve">The law enforcement authorities do not perform any proactive monitoring of the Internet. Only on finding an offence covered by the specific provisions of the Penal Code on terrorism can the investigating judge to whom the case is referred issue an order requiring the access provider or the host of the incriminated site to take blocking and/or closure measures. As regards experiences of collaboration with foreign police departments in this </w:t>
      </w:r>
      <w:r w:rsidR="001A711E" w:rsidRPr="003450F1">
        <w:rPr>
          <w:rFonts w:eastAsiaTheme="minorEastAsia"/>
          <w:color w:val="141215"/>
          <w:bdr w:val="none" w:sz="0" w:space="0" w:color="auto"/>
          <w:lang w:eastAsia="nl-NL"/>
        </w:rPr>
        <w:lastRenderedPageBreak/>
        <w:t>field, the cases dealt with in this way principally concerned national investigations focused on the storage or dissemination of child pornography, whereas it has not yet been possible to acquire experience in measures to b</w:t>
      </w:r>
      <w:r w:rsidRPr="003450F1">
        <w:rPr>
          <w:rFonts w:eastAsiaTheme="minorEastAsia"/>
          <w:color w:val="141215"/>
          <w:bdr w:val="none" w:sz="0" w:space="0" w:color="auto"/>
          <w:lang w:eastAsia="nl-NL"/>
        </w:rPr>
        <w:t>lock sites preaching terrorism.’</w:t>
      </w:r>
      <w:r w:rsidR="001A711E" w:rsidRPr="003450F1">
        <w:rPr>
          <w:rStyle w:val="Odwoanieprzypisudolnego"/>
          <w:rFonts w:eastAsiaTheme="minorEastAsia"/>
          <w:color w:val="141215"/>
          <w:bdr w:val="none" w:sz="0" w:space="0" w:color="auto"/>
          <w:lang w:eastAsia="nl-NL"/>
        </w:rPr>
        <w:footnoteReference w:id="104"/>
      </w:r>
    </w:p>
    <w:p w14:paraId="230DD753" w14:textId="3B9C2892" w:rsidR="001A711E" w:rsidRPr="003450F1" w:rsidRDefault="00370DF3" w:rsidP="001A71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708"/>
        <w:jc w:val="both"/>
        <w:rPr>
          <w:rFonts w:eastAsiaTheme="minorEastAsia"/>
          <w:color w:val="141215"/>
          <w:bdr w:val="none" w:sz="0" w:space="0" w:color="auto"/>
          <w:lang w:eastAsia="nl-NL"/>
        </w:rPr>
      </w:pPr>
      <w:r w:rsidRPr="003450F1">
        <w:rPr>
          <w:rFonts w:eastAsiaTheme="minorEastAsia"/>
          <w:color w:val="141215"/>
          <w:bdr w:val="none" w:sz="0" w:space="0" w:color="auto"/>
          <w:lang w:eastAsia="nl-NL"/>
        </w:rPr>
        <w:t>‘</w:t>
      </w:r>
      <w:r w:rsidR="001A711E" w:rsidRPr="003450F1">
        <w:rPr>
          <w:rFonts w:eastAsiaTheme="minorEastAsia"/>
          <w:color w:val="141215"/>
          <w:bdr w:val="none" w:sz="0" w:space="0" w:color="auto"/>
          <w:lang w:eastAsia="nl-NL"/>
        </w:rPr>
        <w:t>There is no formal partnership between the public and the private sectors, although the relevant police departments keep up excellent relations with the service providers and their co-</w:t>
      </w:r>
      <w:r w:rsidRPr="003450F1">
        <w:rPr>
          <w:rFonts w:eastAsiaTheme="minorEastAsia"/>
          <w:color w:val="141215"/>
          <w:bdr w:val="none" w:sz="0" w:space="0" w:color="auto"/>
          <w:lang w:eastAsia="nl-NL"/>
        </w:rPr>
        <w:t>operation is good on the whole.’</w:t>
      </w:r>
      <w:r w:rsidR="001A711E" w:rsidRPr="003450F1">
        <w:rPr>
          <w:rStyle w:val="Odwoanieprzypisudolnego"/>
          <w:rFonts w:eastAsiaTheme="minorEastAsia"/>
          <w:color w:val="141215"/>
          <w:bdr w:val="none" w:sz="0" w:space="0" w:color="auto"/>
          <w:lang w:eastAsia="nl-NL"/>
        </w:rPr>
        <w:footnoteReference w:id="105"/>
      </w:r>
    </w:p>
    <w:p w14:paraId="650A4AC4" w14:textId="77777777" w:rsidR="001A711E" w:rsidRPr="003450F1" w:rsidRDefault="001A711E" w:rsidP="001A711E">
      <w:pPr>
        <w:pStyle w:val="Hoofdtekst"/>
        <w:spacing w:after="120"/>
        <w:jc w:val="both"/>
        <w:rPr>
          <w:rFonts w:ascii="Times New Roman" w:hAnsi="Times New Roman" w:cs="Times New Roman"/>
          <w:bCs/>
          <w:sz w:val="24"/>
          <w:szCs w:val="24"/>
          <w:lang w:val="en-US"/>
        </w:rPr>
      </w:pPr>
    </w:p>
    <w:p w14:paraId="56E32335" w14:textId="6F402FE8" w:rsidR="001A711E" w:rsidRPr="003450F1" w:rsidRDefault="001A711E" w:rsidP="001A711E">
      <w:pPr>
        <w:pStyle w:val="Hoofdtekst"/>
        <w:spacing w:after="120"/>
        <w:jc w:val="both"/>
        <w:rPr>
          <w:rFonts w:ascii="Times New Roman" w:hAnsi="Times New Roman" w:cs="Times New Roman"/>
          <w:b/>
          <w:color w:val="808080" w:themeColor="background1" w:themeShade="80"/>
          <w:sz w:val="24"/>
          <w:szCs w:val="24"/>
          <w:lang w:val="en-US"/>
        </w:rPr>
      </w:pPr>
      <w:r w:rsidRPr="003450F1">
        <w:rPr>
          <w:rFonts w:ascii="Times New Roman" w:hAnsi="Times New Roman" w:cs="Times New Roman"/>
          <w:b/>
          <w:color w:val="808080" w:themeColor="background1" w:themeShade="80"/>
          <w:sz w:val="24"/>
          <w:szCs w:val="24"/>
          <w:lang w:val="en-US"/>
        </w:rPr>
        <w:t>10. What problems of cooperation between LEAs/judicial authorities with ISPs/IAPs can be indicated on the base o</w:t>
      </w:r>
      <w:r w:rsidR="00DB3026" w:rsidRPr="003450F1">
        <w:rPr>
          <w:rFonts w:ascii="Times New Roman" w:hAnsi="Times New Roman" w:cs="Times New Roman"/>
          <w:b/>
          <w:color w:val="808080" w:themeColor="background1" w:themeShade="80"/>
          <w:sz w:val="24"/>
          <w:szCs w:val="24"/>
          <w:lang w:val="en-US"/>
        </w:rPr>
        <w:t>f judicial decisions/judg</w:t>
      </w:r>
      <w:r w:rsidRPr="003450F1">
        <w:rPr>
          <w:rFonts w:ascii="Times New Roman" w:hAnsi="Times New Roman" w:cs="Times New Roman"/>
          <w:b/>
          <w:color w:val="808080" w:themeColor="background1" w:themeShade="80"/>
          <w:sz w:val="24"/>
          <w:szCs w:val="24"/>
          <w:lang w:val="en-US"/>
        </w:rPr>
        <w:t>ments?</w:t>
      </w:r>
    </w:p>
    <w:p w14:paraId="62CA9892" w14:textId="5C334E25" w:rsidR="001A711E" w:rsidRPr="003450F1" w:rsidRDefault="001A711E" w:rsidP="001A711E">
      <w:pPr>
        <w:pStyle w:val="Hoofdtekst"/>
        <w:spacing w:after="120"/>
        <w:jc w:val="both"/>
        <w:rPr>
          <w:rFonts w:ascii="Times New Roman" w:hAnsi="Times New Roman" w:cs="Times New Roman"/>
          <w:color w:val="auto"/>
          <w:sz w:val="24"/>
          <w:szCs w:val="24"/>
          <w:lang w:val="en-US"/>
        </w:rPr>
      </w:pPr>
      <w:r w:rsidRPr="003450F1">
        <w:rPr>
          <w:rFonts w:ascii="Times New Roman" w:hAnsi="Times New Roman" w:cs="Times New Roman"/>
          <w:color w:val="auto"/>
          <w:sz w:val="24"/>
          <w:szCs w:val="24"/>
          <w:lang w:val="en-US"/>
        </w:rPr>
        <w:t xml:space="preserve">Case law on this subject is very limited. </w:t>
      </w:r>
      <w:r w:rsidR="00F07A13" w:rsidRPr="003450F1">
        <w:rPr>
          <w:rFonts w:ascii="Times New Roman" w:hAnsi="Times New Roman" w:cs="Times New Roman"/>
          <w:color w:val="auto"/>
          <w:sz w:val="24"/>
          <w:szCs w:val="24"/>
          <w:lang w:val="en-US"/>
        </w:rPr>
        <w:t>However</w:t>
      </w:r>
      <w:r w:rsidRPr="003450F1">
        <w:rPr>
          <w:rFonts w:ascii="Times New Roman" w:hAnsi="Times New Roman" w:cs="Times New Roman"/>
          <w:color w:val="auto"/>
          <w:sz w:val="24"/>
          <w:szCs w:val="24"/>
          <w:lang w:val="en-US"/>
        </w:rPr>
        <w:t xml:space="preserve"> there </w:t>
      </w:r>
      <w:r w:rsidR="00F07A13" w:rsidRPr="003450F1">
        <w:rPr>
          <w:rFonts w:ascii="Times New Roman" w:hAnsi="Times New Roman" w:cs="Times New Roman"/>
          <w:color w:val="auto"/>
          <w:sz w:val="24"/>
          <w:szCs w:val="24"/>
          <w:lang w:val="en-US"/>
        </w:rPr>
        <w:t>are</w:t>
      </w:r>
      <w:r w:rsidRPr="003450F1">
        <w:rPr>
          <w:rFonts w:ascii="Times New Roman" w:hAnsi="Times New Roman" w:cs="Times New Roman"/>
          <w:color w:val="auto"/>
          <w:sz w:val="24"/>
          <w:szCs w:val="24"/>
          <w:lang w:val="en-US"/>
        </w:rPr>
        <w:t xml:space="preserve"> a couple of pending cases at this very moment which may lead to interesting case law in the near future.</w:t>
      </w:r>
    </w:p>
    <w:p w14:paraId="69F8CAC9" w14:textId="70CD4F17" w:rsidR="00835800" w:rsidRPr="003450F1" w:rsidRDefault="001A711E" w:rsidP="001A711E">
      <w:pPr>
        <w:pStyle w:val="Hoofdtekst"/>
        <w:spacing w:after="120"/>
        <w:jc w:val="both"/>
        <w:rPr>
          <w:rFonts w:ascii="Times New Roman" w:hAnsi="Times New Roman" w:cs="Times New Roman"/>
          <w:color w:val="auto"/>
          <w:sz w:val="24"/>
          <w:szCs w:val="24"/>
          <w:lang w:val="en-US"/>
        </w:rPr>
      </w:pPr>
      <w:r w:rsidRPr="003450F1">
        <w:rPr>
          <w:rFonts w:ascii="Times New Roman" w:hAnsi="Times New Roman" w:cs="Times New Roman"/>
          <w:color w:val="auto"/>
          <w:sz w:val="24"/>
          <w:szCs w:val="24"/>
          <w:lang w:val="en-US"/>
        </w:rPr>
        <w:t xml:space="preserve">Based on an interview with a specialized public prosecutor, it </w:t>
      </w:r>
      <w:r w:rsidR="00835800" w:rsidRPr="003450F1">
        <w:rPr>
          <w:rFonts w:ascii="Times New Roman" w:hAnsi="Times New Roman" w:cs="Times New Roman"/>
          <w:color w:val="auto"/>
          <w:sz w:val="24"/>
          <w:szCs w:val="24"/>
          <w:lang w:val="en-US"/>
        </w:rPr>
        <w:t>appears that</w:t>
      </w:r>
      <w:r w:rsidRPr="003450F1">
        <w:rPr>
          <w:rFonts w:ascii="Times New Roman" w:hAnsi="Times New Roman" w:cs="Times New Roman"/>
          <w:color w:val="auto"/>
          <w:sz w:val="24"/>
          <w:szCs w:val="24"/>
          <w:lang w:val="en-US"/>
        </w:rPr>
        <w:t xml:space="preserve"> the cooperation with service providers other than </w:t>
      </w:r>
      <w:r w:rsidR="003F79E4" w:rsidRPr="003450F1">
        <w:rPr>
          <w:rFonts w:ascii="Times New Roman" w:hAnsi="Times New Roman" w:cs="Times New Roman"/>
          <w:bCs/>
          <w:sz w:val="24"/>
          <w:szCs w:val="24"/>
          <w:lang w:val="en-US"/>
        </w:rPr>
        <w:t>providers hosting information provided by a recipient of the service</w:t>
      </w:r>
      <w:r w:rsidR="003F79E4" w:rsidRPr="003450F1">
        <w:rPr>
          <w:rFonts w:ascii="Times New Roman" w:hAnsi="Times New Roman" w:cs="Times New Roman"/>
          <w:color w:val="auto"/>
          <w:sz w:val="24"/>
          <w:szCs w:val="24"/>
          <w:lang w:val="en-US"/>
        </w:rPr>
        <w:t xml:space="preserve"> </w:t>
      </w:r>
      <w:r w:rsidRPr="003450F1">
        <w:rPr>
          <w:rFonts w:ascii="Times New Roman" w:hAnsi="Times New Roman" w:cs="Times New Roman"/>
          <w:color w:val="auto"/>
          <w:sz w:val="24"/>
          <w:szCs w:val="24"/>
          <w:lang w:val="en-US"/>
        </w:rPr>
        <w:t>(such as Facebook) is quite good in practice, especially if those provi</w:t>
      </w:r>
      <w:r w:rsidR="00835800" w:rsidRPr="003450F1">
        <w:rPr>
          <w:rFonts w:ascii="Times New Roman" w:hAnsi="Times New Roman" w:cs="Times New Roman"/>
          <w:color w:val="auto"/>
          <w:sz w:val="24"/>
          <w:szCs w:val="24"/>
          <w:lang w:val="en-US"/>
        </w:rPr>
        <w:t xml:space="preserve">ders have their headquarters, </w:t>
      </w:r>
      <w:r w:rsidRPr="003450F1">
        <w:rPr>
          <w:rFonts w:ascii="Times New Roman" w:hAnsi="Times New Roman" w:cs="Times New Roman"/>
          <w:color w:val="auto"/>
          <w:sz w:val="24"/>
          <w:szCs w:val="24"/>
          <w:lang w:val="en-US"/>
        </w:rPr>
        <w:t xml:space="preserve">an office </w:t>
      </w:r>
      <w:r w:rsidR="00835800" w:rsidRPr="003450F1">
        <w:rPr>
          <w:rFonts w:ascii="Times New Roman" w:hAnsi="Times New Roman" w:cs="Times New Roman"/>
          <w:color w:val="auto"/>
          <w:sz w:val="24"/>
          <w:szCs w:val="24"/>
          <w:lang w:val="en-US"/>
        </w:rPr>
        <w:t xml:space="preserve">or </w:t>
      </w:r>
      <w:r w:rsidR="00370DF3" w:rsidRPr="003450F1">
        <w:rPr>
          <w:rFonts w:ascii="Times New Roman" w:hAnsi="Times New Roman" w:cs="Times New Roman"/>
          <w:color w:val="auto"/>
          <w:sz w:val="24"/>
          <w:szCs w:val="24"/>
          <w:lang w:val="en-US"/>
        </w:rPr>
        <w:t xml:space="preserve">at least </w:t>
      </w:r>
      <w:r w:rsidR="00835800" w:rsidRPr="003450F1">
        <w:rPr>
          <w:rFonts w:ascii="Times New Roman" w:hAnsi="Times New Roman" w:cs="Times New Roman"/>
          <w:color w:val="auto"/>
          <w:sz w:val="24"/>
          <w:szCs w:val="24"/>
          <w:lang w:val="en-US"/>
        </w:rPr>
        <w:t xml:space="preserve">a contact point </w:t>
      </w:r>
      <w:r w:rsidRPr="003450F1">
        <w:rPr>
          <w:rFonts w:ascii="Times New Roman" w:hAnsi="Times New Roman" w:cs="Times New Roman"/>
          <w:color w:val="auto"/>
          <w:sz w:val="24"/>
          <w:szCs w:val="24"/>
          <w:lang w:val="en-US"/>
        </w:rPr>
        <w:t xml:space="preserve">in Luxembourg. </w:t>
      </w:r>
      <w:r w:rsidR="00835800" w:rsidRPr="003450F1">
        <w:rPr>
          <w:rFonts w:ascii="Times New Roman" w:hAnsi="Times New Roman" w:cs="Times New Roman"/>
          <w:color w:val="auto"/>
          <w:sz w:val="24"/>
          <w:szCs w:val="24"/>
          <w:lang w:val="en-US"/>
        </w:rPr>
        <w:t>By contrast, t</w:t>
      </w:r>
      <w:r w:rsidRPr="003450F1">
        <w:rPr>
          <w:rFonts w:ascii="Times New Roman" w:hAnsi="Times New Roman" w:cs="Times New Roman"/>
          <w:color w:val="auto"/>
          <w:sz w:val="24"/>
          <w:szCs w:val="24"/>
          <w:lang w:val="en-US"/>
        </w:rPr>
        <w:t xml:space="preserve">he cooperation with service providers </w:t>
      </w:r>
      <w:r w:rsidR="00835800" w:rsidRPr="003450F1">
        <w:rPr>
          <w:rFonts w:ascii="Times New Roman" w:hAnsi="Times New Roman" w:cs="Times New Roman"/>
          <w:color w:val="auto"/>
          <w:sz w:val="24"/>
          <w:szCs w:val="24"/>
          <w:lang w:val="en-US"/>
        </w:rPr>
        <w:t xml:space="preserve">located abroad </w:t>
      </w:r>
      <w:r w:rsidRPr="003450F1">
        <w:rPr>
          <w:rFonts w:ascii="Times New Roman" w:hAnsi="Times New Roman" w:cs="Times New Roman"/>
          <w:color w:val="auto"/>
          <w:sz w:val="24"/>
          <w:szCs w:val="24"/>
          <w:lang w:val="en-US"/>
        </w:rPr>
        <w:t xml:space="preserve">is </w:t>
      </w:r>
      <w:r w:rsidR="00835800" w:rsidRPr="003450F1">
        <w:rPr>
          <w:rFonts w:ascii="Times New Roman" w:hAnsi="Times New Roman" w:cs="Times New Roman"/>
          <w:color w:val="auto"/>
          <w:sz w:val="24"/>
          <w:szCs w:val="24"/>
          <w:lang w:val="en-US"/>
        </w:rPr>
        <w:t xml:space="preserve">far from smooth; those providers usually only hand over basic subscriber information. </w:t>
      </w:r>
    </w:p>
    <w:p w14:paraId="51B9914A" w14:textId="2B7C42EB" w:rsidR="00835800" w:rsidRPr="003450F1" w:rsidRDefault="00835800" w:rsidP="001A711E">
      <w:pPr>
        <w:pStyle w:val="Hoofdtekst"/>
        <w:spacing w:after="120"/>
        <w:jc w:val="both"/>
        <w:rPr>
          <w:rFonts w:ascii="Times New Roman" w:hAnsi="Times New Roman" w:cs="Times New Roman"/>
          <w:color w:val="auto"/>
          <w:sz w:val="24"/>
          <w:szCs w:val="24"/>
          <w:lang w:val="en-US"/>
        </w:rPr>
      </w:pPr>
      <w:r w:rsidRPr="003450F1">
        <w:rPr>
          <w:rFonts w:ascii="Times New Roman" w:hAnsi="Times New Roman" w:cs="Times New Roman"/>
          <w:color w:val="auto"/>
          <w:sz w:val="24"/>
          <w:szCs w:val="24"/>
          <w:lang w:val="en-US"/>
        </w:rPr>
        <w:t>Furthermore</w:t>
      </w:r>
      <w:r w:rsidR="001A711E" w:rsidRPr="003450F1">
        <w:rPr>
          <w:rFonts w:ascii="Times New Roman" w:hAnsi="Times New Roman" w:cs="Times New Roman"/>
          <w:color w:val="auto"/>
          <w:sz w:val="24"/>
          <w:szCs w:val="24"/>
          <w:lang w:val="en-US"/>
        </w:rPr>
        <w:t xml:space="preserve">, </w:t>
      </w:r>
      <w:r w:rsidRPr="003450F1">
        <w:rPr>
          <w:rFonts w:ascii="Times New Roman" w:hAnsi="Times New Roman" w:cs="Times New Roman"/>
          <w:color w:val="auto"/>
          <w:sz w:val="24"/>
          <w:szCs w:val="24"/>
          <w:lang w:val="en-US"/>
        </w:rPr>
        <w:t>as pointed out above (</w:t>
      </w:r>
      <w:r w:rsidRPr="003450F1">
        <w:rPr>
          <w:rFonts w:ascii="Times New Roman" w:hAnsi="Times New Roman" w:cs="Times New Roman"/>
          <w:i/>
          <w:color w:val="auto"/>
          <w:sz w:val="24"/>
          <w:szCs w:val="24"/>
          <w:lang w:val="en-US"/>
        </w:rPr>
        <w:t>supra</w:t>
      </w:r>
      <w:r w:rsidRPr="003450F1">
        <w:rPr>
          <w:rFonts w:ascii="Times New Roman" w:hAnsi="Times New Roman" w:cs="Times New Roman"/>
          <w:color w:val="auto"/>
          <w:sz w:val="24"/>
          <w:szCs w:val="24"/>
          <w:lang w:val="en-US"/>
        </w:rPr>
        <w:t>, sub question 6</w:t>
      </w:r>
      <w:r w:rsidR="00370DF3" w:rsidRPr="003450F1">
        <w:rPr>
          <w:rFonts w:ascii="Times New Roman" w:hAnsi="Times New Roman" w:cs="Times New Roman"/>
          <w:color w:val="auto"/>
          <w:sz w:val="24"/>
          <w:szCs w:val="24"/>
          <w:lang w:val="en-US"/>
        </w:rPr>
        <w:t xml:space="preserve"> and 7</w:t>
      </w:r>
      <w:r w:rsidRPr="003450F1">
        <w:rPr>
          <w:rFonts w:ascii="Times New Roman" w:hAnsi="Times New Roman" w:cs="Times New Roman"/>
          <w:color w:val="auto"/>
          <w:sz w:val="24"/>
          <w:szCs w:val="24"/>
          <w:lang w:val="en-US"/>
        </w:rPr>
        <w:t xml:space="preserve">), if </w:t>
      </w:r>
      <w:r w:rsidR="001A711E" w:rsidRPr="003450F1">
        <w:rPr>
          <w:rFonts w:ascii="Times New Roman" w:hAnsi="Times New Roman" w:cs="Times New Roman"/>
          <w:color w:val="auto"/>
          <w:sz w:val="24"/>
          <w:szCs w:val="24"/>
          <w:lang w:val="en-US"/>
        </w:rPr>
        <w:t>the da</w:t>
      </w:r>
      <w:r w:rsidRPr="003450F1">
        <w:rPr>
          <w:rFonts w:ascii="Times New Roman" w:hAnsi="Times New Roman" w:cs="Times New Roman"/>
          <w:color w:val="auto"/>
          <w:sz w:val="24"/>
          <w:szCs w:val="24"/>
          <w:lang w:val="en-US"/>
        </w:rPr>
        <w:t>ta processed by such foreign service providers are not stored in Luxembourg (i.e., not even on local servers mirroring), it is impossible for the Luxembourgish judicial authorities to seize the data.</w:t>
      </w:r>
    </w:p>
    <w:p w14:paraId="0C7AD1B8" w14:textId="77777777" w:rsidR="00DB3026" w:rsidRPr="003450F1" w:rsidRDefault="00DB3026" w:rsidP="001A711E">
      <w:pPr>
        <w:pStyle w:val="Hoofdtekst"/>
        <w:spacing w:after="120"/>
        <w:jc w:val="both"/>
        <w:rPr>
          <w:rFonts w:ascii="Times New Roman" w:hAnsi="Times New Roman" w:cs="Times New Roman"/>
          <w:color w:val="auto"/>
          <w:sz w:val="24"/>
          <w:szCs w:val="24"/>
          <w:lang w:val="en-US"/>
        </w:rPr>
      </w:pPr>
    </w:p>
    <w:p w14:paraId="2B4C80EB" w14:textId="00A29C6A" w:rsidR="001A711E" w:rsidRPr="003450F1" w:rsidRDefault="001A711E" w:rsidP="001A711E">
      <w:pPr>
        <w:pStyle w:val="Hoofdtekst"/>
        <w:spacing w:after="120"/>
        <w:jc w:val="both"/>
        <w:rPr>
          <w:rFonts w:ascii="Times New Roman" w:hAnsi="Times New Roman" w:cs="Times New Roman"/>
          <w:b/>
          <w:color w:val="808080" w:themeColor="background1" w:themeShade="80"/>
          <w:sz w:val="24"/>
          <w:szCs w:val="24"/>
          <w:lang w:val="en-US"/>
        </w:rPr>
      </w:pPr>
      <w:r w:rsidRPr="003450F1">
        <w:rPr>
          <w:rFonts w:ascii="Times New Roman" w:hAnsi="Times New Roman" w:cs="Times New Roman"/>
          <w:b/>
          <w:color w:val="808080" w:themeColor="background1" w:themeShade="80"/>
          <w:sz w:val="24"/>
          <w:szCs w:val="24"/>
          <w:lang w:val="en-US"/>
        </w:rPr>
        <w:t>11. What is the effectiveness of investigation and prosecution of illegal content crimes and child abuse on the internet in your country according to available statistical data and research?</w:t>
      </w:r>
    </w:p>
    <w:p w14:paraId="30FA82E6" w14:textId="2F3C3CE1"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 xml:space="preserve">There are no publicly available statistical data on the effectiveness of the investigation and prosecution of illegal content crimes and child abuse on the </w:t>
      </w:r>
      <w:r w:rsidR="00F07A13" w:rsidRPr="003450F1">
        <w:rPr>
          <w:rFonts w:ascii="Times New Roman" w:hAnsi="Times New Roman" w:cs="Times New Roman"/>
          <w:sz w:val="24"/>
          <w:szCs w:val="24"/>
          <w:lang w:val="en-US"/>
        </w:rPr>
        <w:t>Internet</w:t>
      </w:r>
      <w:r w:rsidRPr="003450F1">
        <w:rPr>
          <w:rFonts w:ascii="Times New Roman" w:hAnsi="Times New Roman" w:cs="Times New Roman"/>
          <w:sz w:val="24"/>
          <w:szCs w:val="24"/>
          <w:lang w:val="en-US"/>
        </w:rPr>
        <w:t xml:space="preserve"> in Luxembourg. But public prosecutors </w:t>
      </w:r>
      <w:r w:rsidR="00FF124A" w:rsidRPr="003450F1">
        <w:rPr>
          <w:rFonts w:ascii="Times New Roman" w:hAnsi="Times New Roman" w:cs="Times New Roman"/>
          <w:sz w:val="24"/>
          <w:szCs w:val="24"/>
          <w:lang w:val="en-US"/>
        </w:rPr>
        <w:t xml:space="preserve">appear to </w:t>
      </w:r>
      <w:r w:rsidR="002861D5" w:rsidRPr="003450F1">
        <w:rPr>
          <w:rFonts w:ascii="Times New Roman" w:hAnsi="Times New Roman" w:cs="Times New Roman"/>
          <w:sz w:val="24"/>
          <w:szCs w:val="24"/>
          <w:lang w:val="en-US"/>
        </w:rPr>
        <w:t>quite</w:t>
      </w:r>
      <w:r w:rsidRPr="003450F1">
        <w:rPr>
          <w:rFonts w:ascii="Times New Roman" w:hAnsi="Times New Roman" w:cs="Times New Roman"/>
          <w:sz w:val="24"/>
          <w:szCs w:val="24"/>
          <w:lang w:val="en-US"/>
        </w:rPr>
        <w:t xml:space="preserve"> </w:t>
      </w:r>
      <w:r w:rsidR="002861D5" w:rsidRPr="003450F1">
        <w:rPr>
          <w:rFonts w:ascii="Times New Roman" w:hAnsi="Times New Roman" w:cs="Times New Roman"/>
          <w:sz w:val="24"/>
          <w:szCs w:val="24"/>
          <w:lang w:val="en-US"/>
        </w:rPr>
        <w:t xml:space="preserve">positive about </w:t>
      </w:r>
      <w:r w:rsidRPr="003450F1">
        <w:rPr>
          <w:rFonts w:ascii="Times New Roman" w:hAnsi="Times New Roman" w:cs="Times New Roman"/>
          <w:sz w:val="24"/>
          <w:szCs w:val="24"/>
          <w:lang w:val="en-US"/>
        </w:rPr>
        <w:t>the effectivity of their investigations, especially because they can also use valuable information from financial investigation</w:t>
      </w:r>
      <w:r w:rsidR="00FF124A" w:rsidRPr="003450F1">
        <w:rPr>
          <w:rFonts w:ascii="Times New Roman" w:hAnsi="Times New Roman" w:cs="Times New Roman"/>
          <w:sz w:val="24"/>
          <w:szCs w:val="24"/>
          <w:lang w:val="en-US"/>
        </w:rPr>
        <w:t>s</w:t>
      </w:r>
      <w:r w:rsidRPr="003450F1">
        <w:rPr>
          <w:rFonts w:ascii="Times New Roman" w:hAnsi="Times New Roman" w:cs="Times New Roman"/>
          <w:sz w:val="24"/>
          <w:szCs w:val="24"/>
          <w:lang w:val="en-US"/>
        </w:rPr>
        <w:t xml:space="preserve"> for that purpose.</w:t>
      </w:r>
    </w:p>
    <w:p w14:paraId="5ECC2BD3" w14:textId="77777777" w:rsidR="00DB3026" w:rsidRPr="003450F1" w:rsidRDefault="00DB3026" w:rsidP="001A711E">
      <w:pPr>
        <w:pStyle w:val="Hoofdtekst"/>
        <w:spacing w:after="120"/>
        <w:jc w:val="both"/>
        <w:rPr>
          <w:rFonts w:ascii="Times New Roman" w:hAnsi="Times New Roman" w:cs="Times New Roman"/>
          <w:sz w:val="24"/>
          <w:szCs w:val="24"/>
          <w:lang w:val="en-US"/>
        </w:rPr>
      </w:pPr>
    </w:p>
    <w:p w14:paraId="157C8EFE" w14:textId="66CE060D" w:rsidR="001A711E" w:rsidRPr="003450F1" w:rsidRDefault="001A711E" w:rsidP="001A711E">
      <w:pPr>
        <w:pStyle w:val="Hoofdtekst"/>
        <w:spacing w:after="120"/>
        <w:jc w:val="both"/>
        <w:rPr>
          <w:rFonts w:ascii="Times New Roman" w:hAnsi="Times New Roman" w:cs="Times New Roman"/>
          <w:b/>
          <w:bCs/>
          <w:color w:val="808080" w:themeColor="background1" w:themeShade="80"/>
          <w:sz w:val="24"/>
          <w:szCs w:val="24"/>
          <w:lang w:val="en-US"/>
        </w:rPr>
      </w:pPr>
      <w:r w:rsidRPr="003450F1">
        <w:rPr>
          <w:rFonts w:ascii="Times New Roman" w:hAnsi="Times New Roman" w:cs="Times New Roman"/>
          <w:b/>
          <w:bCs/>
          <w:color w:val="808080" w:themeColor="background1" w:themeShade="80"/>
          <w:sz w:val="24"/>
          <w:szCs w:val="24"/>
          <w:lang w:val="en-US"/>
        </w:rPr>
        <w:t>12. Is there any new legislation prepared or proposed concerning the above mentioned issues? If so, please indicate what are the intended changes and what reasons for them.</w:t>
      </w:r>
    </w:p>
    <w:p w14:paraId="66866D27" w14:textId="77777777"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sz w:val="24"/>
          <w:szCs w:val="24"/>
          <w:lang w:val="en-US"/>
        </w:rPr>
        <w:t>There are two pending bills in Parliament which are noteworthy to mention at this point in time.</w:t>
      </w:r>
    </w:p>
    <w:p w14:paraId="4E166AED" w14:textId="77777777" w:rsidR="001A711E" w:rsidRPr="003450F1" w:rsidRDefault="001A711E" w:rsidP="001A711E">
      <w:pPr>
        <w:pStyle w:val="Hoofdtekst"/>
        <w:spacing w:after="120"/>
        <w:jc w:val="both"/>
        <w:rPr>
          <w:rFonts w:ascii="Times New Roman" w:hAnsi="Times New Roman" w:cs="Times New Roman"/>
          <w:sz w:val="24"/>
          <w:szCs w:val="24"/>
          <w:lang w:val="en-US"/>
        </w:rPr>
      </w:pPr>
      <w:r w:rsidRPr="003450F1">
        <w:rPr>
          <w:rFonts w:ascii="Times New Roman" w:hAnsi="Times New Roman" w:cs="Times New Roman"/>
          <w:b/>
          <w:sz w:val="24"/>
          <w:szCs w:val="24"/>
          <w:lang w:val="en-US"/>
        </w:rPr>
        <w:t>- Draft Bill No 6763</w:t>
      </w:r>
      <w:r w:rsidRPr="003450F1">
        <w:rPr>
          <w:rFonts w:ascii="Times New Roman" w:hAnsi="Times New Roman" w:cs="Times New Roman"/>
          <w:sz w:val="24"/>
          <w:szCs w:val="24"/>
          <w:lang w:val="en-US"/>
        </w:rPr>
        <w:t xml:space="preserve"> concerning the amendment of the Code of Criminal Procedure and of the Law of 30 May 2005. This Bill is still pending in Parliament,</w:t>
      </w:r>
      <w:r w:rsidRPr="003450F1">
        <w:rPr>
          <w:rStyle w:val="Odwoanieprzypisudolnego"/>
          <w:rFonts w:ascii="Times New Roman" w:hAnsi="Times New Roman" w:cs="Times New Roman"/>
          <w:sz w:val="24"/>
          <w:szCs w:val="24"/>
          <w:lang w:val="en-US"/>
        </w:rPr>
        <w:footnoteReference w:id="106"/>
      </w:r>
      <w:r w:rsidRPr="003450F1">
        <w:rPr>
          <w:rFonts w:ascii="Times New Roman" w:hAnsi="Times New Roman" w:cs="Times New Roman"/>
          <w:sz w:val="24"/>
          <w:szCs w:val="24"/>
          <w:lang w:val="en-US"/>
        </w:rPr>
        <w:t xml:space="preserve"> but includes a number of highly important changes.</w:t>
      </w:r>
    </w:p>
    <w:p w14:paraId="4D10E64E" w14:textId="794290A9" w:rsidR="001A711E" w:rsidRPr="003450F1" w:rsidRDefault="001A711E" w:rsidP="001A711E">
      <w:pPr>
        <w:pStyle w:val="Hoofdtekst"/>
        <w:spacing w:after="120"/>
        <w:jc w:val="both"/>
        <w:rPr>
          <w:rFonts w:ascii="Times New Roman" w:eastAsiaTheme="minorEastAsia" w:hAnsi="Times New Roman" w:cs="Times New Roman"/>
          <w:sz w:val="24"/>
          <w:szCs w:val="24"/>
          <w:bdr w:val="none" w:sz="0" w:space="0" w:color="auto"/>
          <w:lang w:val="en-US" w:eastAsia="nl-NL"/>
        </w:rPr>
      </w:pPr>
      <w:r w:rsidRPr="003450F1">
        <w:rPr>
          <w:rFonts w:ascii="Times New Roman" w:eastAsiaTheme="minorEastAsia" w:hAnsi="Times New Roman" w:cs="Times New Roman"/>
          <w:sz w:val="24"/>
          <w:szCs w:val="24"/>
          <w:bdr w:val="none" w:sz="0" w:space="0" w:color="auto"/>
          <w:lang w:val="en-US" w:eastAsia="nl-NL"/>
        </w:rPr>
        <w:lastRenderedPageBreak/>
        <w:t>Following the CJEU judgment annulling the Data Retention Directive,</w:t>
      </w:r>
      <w:r w:rsidRPr="003450F1">
        <w:rPr>
          <w:rFonts w:ascii="Times New Roman" w:hAnsi="Times New Roman" w:cs="Times New Roman"/>
          <w:sz w:val="24"/>
          <w:szCs w:val="24"/>
          <w:vertAlign w:val="superscript"/>
        </w:rPr>
        <w:footnoteReference w:id="107"/>
      </w:r>
      <w:r w:rsidRPr="003450F1">
        <w:rPr>
          <w:rFonts w:ascii="Times New Roman" w:eastAsiaTheme="minorEastAsia" w:hAnsi="Times New Roman" w:cs="Times New Roman"/>
          <w:sz w:val="24"/>
          <w:szCs w:val="24"/>
          <w:bdr w:val="none" w:sz="0" w:space="0" w:color="auto"/>
          <w:lang w:val="en-US" w:eastAsia="nl-NL"/>
        </w:rPr>
        <w:t xml:space="preserve"> Luxembourg decided quite quickly to amend its national law. The Ministry of Justice filed on 7 January 2015 a legislative proposal which modifies both the Code of Criminal Procedure and the Law of 30 May 2005. The Bill concerns both traffic data (Article 5 </w:t>
      </w:r>
      <w:r w:rsidR="00AD391B" w:rsidRPr="003450F1">
        <w:rPr>
          <w:rFonts w:ascii="Times New Roman" w:eastAsiaTheme="minorEastAsia" w:hAnsi="Times New Roman" w:cs="Times New Roman"/>
          <w:sz w:val="24"/>
          <w:szCs w:val="24"/>
          <w:bdr w:val="none" w:sz="0" w:space="0" w:color="auto"/>
          <w:lang w:val="en-US" w:eastAsia="nl-NL"/>
        </w:rPr>
        <w:t xml:space="preserve">of the </w:t>
      </w:r>
      <w:r w:rsidRPr="003450F1">
        <w:rPr>
          <w:rFonts w:ascii="Times New Roman" w:eastAsiaTheme="minorEastAsia" w:hAnsi="Times New Roman" w:cs="Times New Roman"/>
          <w:sz w:val="24"/>
          <w:szCs w:val="24"/>
          <w:bdr w:val="none" w:sz="0" w:space="0" w:color="auto"/>
          <w:lang w:val="en-US" w:eastAsia="nl-NL"/>
        </w:rPr>
        <w:t xml:space="preserve">Law of 30 May 2005, </w:t>
      </w:r>
      <w:r w:rsidRPr="003450F1">
        <w:rPr>
          <w:rFonts w:ascii="Times New Roman" w:eastAsiaTheme="minorEastAsia" w:hAnsi="Times New Roman" w:cs="Times New Roman"/>
          <w:i/>
          <w:sz w:val="24"/>
          <w:szCs w:val="24"/>
          <w:bdr w:val="none" w:sz="0" w:space="0" w:color="auto"/>
          <w:lang w:val="en-US" w:eastAsia="nl-NL"/>
        </w:rPr>
        <w:t>supra</w:t>
      </w:r>
      <w:r w:rsidRPr="003450F1">
        <w:rPr>
          <w:rFonts w:ascii="Times New Roman" w:eastAsiaTheme="minorEastAsia" w:hAnsi="Times New Roman" w:cs="Times New Roman"/>
          <w:sz w:val="24"/>
          <w:szCs w:val="24"/>
          <w:bdr w:val="none" w:sz="0" w:space="0" w:color="auto"/>
          <w:lang w:val="en-US" w:eastAsia="nl-NL"/>
        </w:rPr>
        <w:t>, question 2) and location data other than traffic data (Article 9</w:t>
      </w:r>
      <w:r w:rsidR="00AD391B" w:rsidRPr="003450F1">
        <w:rPr>
          <w:rFonts w:ascii="Times New Roman" w:eastAsiaTheme="minorEastAsia" w:hAnsi="Times New Roman" w:cs="Times New Roman"/>
          <w:sz w:val="24"/>
          <w:szCs w:val="24"/>
          <w:bdr w:val="none" w:sz="0" w:space="0" w:color="auto"/>
          <w:lang w:val="en-US" w:eastAsia="nl-NL"/>
        </w:rPr>
        <w:t xml:space="preserve"> of the</w:t>
      </w:r>
      <w:r w:rsidRPr="003450F1">
        <w:rPr>
          <w:rFonts w:ascii="Times New Roman" w:eastAsiaTheme="minorEastAsia" w:hAnsi="Times New Roman" w:cs="Times New Roman"/>
          <w:sz w:val="24"/>
          <w:szCs w:val="24"/>
          <w:bdr w:val="none" w:sz="0" w:space="0" w:color="auto"/>
          <w:lang w:val="en-US" w:eastAsia="nl-NL"/>
        </w:rPr>
        <w:t xml:space="preserve"> Law of 30 May 2005, </w:t>
      </w:r>
      <w:r w:rsidRPr="003450F1">
        <w:rPr>
          <w:rFonts w:ascii="Times New Roman" w:eastAsiaTheme="minorEastAsia" w:hAnsi="Times New Roman" w:cs="Times New Roman"/>
          <w:i/>
          <w:sz w:val="24"/>
          <w:szCs w:val="24"/>
          <w:bdr w:val="none" w:sz="0" w:space="0" w:color="auto"/>
          <w:lang w:val="en-US" w:eastAsia="nl-NL"/>
        </w:rPr>
        <w:t>supra</w:t>
      </w:r>
      <w:r w:rsidRPr="003450F1">
        <w:rPr>
          <w:rFonts w:ascii="Times New Roman" w:eastAsiaTheme="minorEastAsia" w:hAnsi="Times New Roman" w:cs="Times New Roman"/>
          <w:sz w:val="24"/>
          <w:szCs w:val="24"/>
          <w:bdr w:val="none" w:sz="0" w:space="0" w:color="auto"/>
          <w:lang w:val="en-US" w:eastAsia="nl-NL"/>
        </w:rPr>
        <w:t xml:space="preserve">, question 2), and provides for four main amendments to the existing Luxembourgish rules. In particular, the Bill foresees </w:t>
      </w:r>
      <w:r w:rsidR="00AD391B" w:rsidRPr="003450F1">
        <w:rPr>
          <w:rFonts w:ascii="Times New Roman" w:eastAsiaTheme="minorEastAsia" w:hAnsi="Times New Roman" w:cs="Times New Roman"/>
          <w:sz w:val="24"/>
          <w:szCs w:val="24"/>
          <w:bdr w:val="none" w:sz="0" w:space="0" w:color="auto"/>
          <w:lang w:val="en-US" w:eastAsia="nl-NL"/>
        </w:rPr>
        <w:t xml:space="preserve">the </w:t>
      </w:r>
      <w:r w:rsidRPr="003450F1">
        <w:rPr>
          <w:rFonts w:ascii="Times New Roman" w:eastAsiaTheme="minorEastAsia" w:hAnsi="Times New Roman" w:cs="Times New Roman"/>
          <w:sz w:val="24"/>
          <w:szCs w:val="24"/>
          <w:bdr w:val="none" w:sz="0" w:space="0" w:color="auto"/>
          <w:lang w:val="en-US" w:eastAsia="nl-NL"/>
        </w:rPr>
        <w:t xml:space="preserve">access </w:t>
      </w:r>
      <w:r w:rsidR="00AD391B" w:rsidRPr="003450F1">
        <w:rPr>
          <w:rFonts w:ascii="Times New Roman" w:eastAsiaTheme="minorEastAsia" w:hAnsi="Times New Roman" w:cs="Times New Roman"/>
          <w:sz w:val="24"/>
          <w:szCs w:val="24"/>
          <w:bdr w:val="none" w:sz="0" w:space="0" w:color="auto"/>
          <w:lang w:val="en-US" w:eastAsia="nl-NL"/>
        </w:rPr>
        <w:t xml:space="preserve">of judicial authorities </w:t>
      </w:r>
      <w:r w:rsidRPr="003450F1">
        <w:rPr>
          <w:rFonts w:ascii="Times New Roman" w:eastAsiaTheme="minorEastAsia" w:hAnsi="Times New Roman" w:cs="Times New Roman"/>
          <w:sz w:val="24"/>
          <w:szCs w:val="24"/>
          <w:bdr w:val="none" w:sz="0" w:space="0" w:color="auto"/>
          <w:lang w:val="en-US" w:eastAsia="nl-NL"/>
        </w:rPr>
        <w:t xml:space="preserve">to the retained data on the basis of an </w:t>
      </w:r>
      <w:r w:rsidRPr="003450F1">
        <w:rPr>
          <w:rFonts w:ascii="Times New Roman" w:eastAsiaTheme="minorEastAsia" w:hAnsi="Times New Roman" w:cs="Times New Roman"/>
          <w:i/>
          <w:sz w:val="24"/>
          <w:szCs w:val="24"/>
          <w:bdr w:val="none" w:sz="0" w:space="0" w:color="auto"/>
          <w:lang w:val="en-US" w:eastAsia="nl-NL"/>
        </w:rPr>
        <w:t>exhaustive and precise list of criminal offences</w:t>
      </w:r>
      <w:r w:rsidRPr="003450F1">
        <w:rPr>
          <w:rFonts w:ascii="Times New Roman" w:eastAsiaTheme="minorEastAsia" w:hAnsi="Times New Roman" w:cs="Times New Roman"/>
          <w:sz w:val="24"/>
          <w:szCs w:val="24"/>
          <w:bdr w:val="none" w:sz="0" w:space="0" w:color="auto"/>
          <w:lang w:val="en-US" w:eastAsia="nl-NL"/>
        </w:rPr>
        <w:t xml:space="preserve"> which </w:t>
      </w:r>
      <w:r w:rsidR="00AD391B" w:rsidRPr="003450F1">
        <w:rPr>
          <w:rFonts w:ascii="Times New Roman" w:eastAsiaTheme="minorEastAsia" w:hAnsi="Times New Roman" w:cs="Times New Roman"/>
          <w:sz w:val="24"/>
          <w:szCs w:val="24"/>
          <w:bdr w:val="none" w:sz="0" w:space="0" w:color="auto"/>
          <w:lang w:val="en-US" w:eastAsia="nl-NL"/>
        </w:rPr>
        <w:t xml:space="preserve">are punishable by </w:t>
      </w:r>
      <w:r w:rsidRPr="003450F1">
        <w:rPr>
          <w:rFonts w:ascii="Times New Roman" w:eastAsiaTheme="minorEastAsia" w:hAnsi="Times New Roman" w:cs="Times New Roman"/>
          <w:sz w:val="24"/>
          <w:szCs w:val="24"/>
          <w:bdr w:val="none" w:sz="0" w:space="0" w:color="auto"/>
          <w:lang w:val="en-US" w:eastAsia="nl-NL"/>
        </w:rPr>
        <w:t xml:space="preserve">a prison sentence of at least one year (newly added paragraph 4 to Article 67-1 of the Code of Criminal Procedure). The proposal further provides that the retained data must be </w:t>
      </w:r>
      <w:r w:rsidRPr="003450F1">
        <w:rPr>
          <w:rFonts w:ascii="Times New Roman" w:eastAsiaTheme="minorEastAsia" w:hAnsi="Times New Roman" w:cs="Times New Roman"/>
          <w:i/>
          <w:sz w:val="24"/>
          <w:szCs w:val="24"/>
          <w:bdr w:val="none" w:sz="0" w:space="0" w:color="auto"/>
          <w:lang w:val="en-US" w:eastAsia="nl-NL"/>
        </w:rPr>
        <w:t>irrevocably and without any delay deleted</w:t>
      </w:r>
      <w:r w:rsidRPr="003450F1">
        <w:rPr>
          <w:rFonts w:ascii="Times New Roman" w:eastAsiaTheme="minorEastAsia" w:hAnsi="Times New Roman" w:cs="Times New Roman"/>
          <w:sz w:val="24"/>
          <w:szCs w:val="24"/>
          <w:bdr w:val="none" w:sz="0" w:space="0" w:color="auto"/>
          <w:lang w:val="en-US" w:eastAsia="nl-NL"/>
        </w:rPr>
        <w:t xml:space="preserve"> at the end of the expiration of the retention period. After the expiration of this period, electronic communication service providers are no longer permitted to store the data in an anonymized form (new Articles 5 (1) (b) and 9 (1) (b) </w:t>
      </w:r>
      <w:r w:rsidR="00AD391B" w:rsidRPr="003450F1">
        <w:rPr>
          <w:rFonts w:ascii="Times New Roman" w:eastAsiaTheme="minorEastAsia" w:hAnsi="Times New Roman" w:cs="Times New Roman"/>
          <w:sz w:val="24"/>
          <w:szCs w:val="24"/>
          <w:bdr w:val="none" w:sz="0" w:space="0" w:color="auto"/>
          <w:lang w:val="en-US" w:eastAsia="nl-NL"/>
        </w:rPr>
        <w:t xml:space="preserve">of the </w:t>
      </w:r>
      <w:r w:rsidRPr="003450F1">
        <w:rPr>
          <w:rFonts w:ascii="Times New Roman" w:eastAsiaTheme="minorEastAsia" w:hAnsi="Times New Roman" w:cs="Times New Roman"/>
          <w:sz w:val="24"/>
          <w:szCs w:val="24"/>
          <w:bdr w:val="none" w:sz="0" w:space="0" w:color="auto"/>
          <w:lang w:val="en-US" w:eastAsia="nl-NL"/>
        </w:rPr>
        <w:t xml:space="preserve">Law of 30 May 2005). Moreover, the new Bill </w:t>
      </w:r>
      <w:r w:rsidRPr="003450F1">
        <w:rPr>
          <w:rFonts w:ascii="Times New Roman" w:eastAsiaTheme="minorEastAsia" w:hAnsi="Times New Roman" w:cs="Times New Roman"/>
          <w:i/>
          <w:sz w:val="24"/>
          <w:szCs w:val="24"/>
          <w:bdr w:val="none" w:sz="0" w:space="0" w:color="auto"/>
          <w:lang w:val="en-US" w:eastAsia="nl-NL"/>
        </w:rPr>
        <w:t>increases the criminal penalties</w:t>
      </w:r>
      <w:r w:rsidRPr="003450F1">
        <w:rPr>
          <w:rFonts w:ascii="Times New Roman" w:eastAsiaTheme="minorEastAsia" w:hAnsi="Times New Roman" w:cs="Times New Roman"/>
          <w:sz w:val="24"/>
          <w:szCs w:val="24"/>
          <w:bdr w:val="none" w:sz="0" w:space="0" w:color="auto"/>
          <w:lang w:val="en-US" w:eastAsia="nl-NL"/>
        </w:rPr>
        <w:t xml:space="preserve"> – in case of non-compliance with the Law of 30 May 2005 – to a sentence of six months to two years of imprisonment (new Articles 5 (6) and 9 (6)</w:t>
      </w:r>
      <w:r w:rsidR="00AD391B" w:rsidRPr="003450F1">
        <w:rPr>
          <w:rFonts w:ascii="Times New Roman" w:eastAsiaTheme="minorEastAsia" w:hAnsi="Times New Roman" w:cs="Times New Roman"/>
          <w:sz w:val="24"/>
          <w:szCs w:val="24"/>
          <w:bdr w:val="none" w:sz="0" w:space="0" w:color="auto"/>
          <w:lang w:val="en-US" w:eastAsia="nl-NL"/>
        </w:rPr>
        <w:t xml:space="preserve"> of the </w:t>
      </w:r>
      <w:r w:rsidRPr="003450F1">
        <w:rPr>
          <w:rFonts w:ascii="Times New Roman" w:eastAsiaTheme="minorEastAsia" w:hAnsi="Times New Roman" w:cs="Times New Roman"/>
          <w:sz w:val="24"/>
          <w:szCs w:val="24"/>
          <w:bdr w:val="none" w:sz="0" w:space="0" w:color="auto"/>
          <w:lang w:val="en-US" w:eastAsia="nl-NL"/>
        </w:rPr>
        <w:t xml:space="preserve">Law of 30 May 2005) and provides that data shall be stored </w:t>
      </w:r>
      <w:r w:rsidRPr="003450F1">
        <w:rPr>
          <w:rFonts w:ascii="Times New Roman" w:eastAsiaTheme="minorEastAsia" w:hAnsi="Times New Roman" w:cs="Times New Roman"/>
          <w:i/>
          <w:sz w:val="24"/>
          <w:szCs w:val="24"/>
          <w:bdr w:val="none" w:sz="0" w:space="0" w:color="auto"/>
          <w:lang w:val="en-US" w:eastAsia="nl-NL"/>
        </w:rPr>
        <w:t>on the territory of the European Union</w:t>
      </w:r>
      <w:r w:rsidRPr="003450F1">
        <w:rPr>
          <w:rFonts w:ascii="Times New Roman" w:eastAsiaTheme="minorEastAsia" w:hAnsi="Times New Roman" w:cs="Times New Roman"/>
          <w:sz w:val="24"/>
          <w:szCs w:val="24"/>
          <w:bdr w:val="none" w:sz="0" w:space="0" w:color="auto"/>
          <w:lang w:val="en-US" w:eastAsia="nl-NL"/>
        </w:rPr>
        <w:t xml:space="preserve"> (new Article 5-1 (1) </w:t>
      </w:r>
      <w:r w:rsidR="00AD391B" w:rsidRPr="003450F1">
        <w:rPr>
          <w:rFonts w:ascii="Times New Roman" w:eastAsiaTheme="minorEastAsia" w:hAnsi="Times New Roman" w:cs="Times New Roman"/>
          <w:sz w:val="24"/>
          <w:szCs w:val="24"/>
          <w:bdr w:val="none" w:sz="0" w:space="0" w:color="auto"/>
          <w:lang w:val="en-US" w:eastAsia="nl-NL"/>
        </w:rPr>
        <w:t xml:space="preserve">of the </w:t>
      </w:r>
      <w:r w:rsidRPr="003450F1">
        <w:rPr>
          <w:rFonts w:ascii="Times New Roman" w:eastAsiaTheme="minorEastAsia" w:hAnsi="Times New Roman" w:cs="Times New Roman"/>
          <w:sz w:val="24"/>
          <w:szCs w:val="24"/>
          <w:bdr w:val="none" w:sz="0" w:space="0" w:color="auto"/>
          <w:lang w:val="en-US" w:eastAsia="nl-NL"/>
        </w:rPr>
        <w:t>Law of 30 May 2005). Finally, the B</w:t>
      </w:r>
      <w:r w:rsidR="00FF124A" w:rsidRPr="003450F1">
        <w:rPr>
          <w:rFonts w:ascii="Times New Roman" w:eastAsiaTheme="minorEastAsia" w:hAnsi="Times New Roman" w:cs="Times New Roman"/>
          <w:sz w:val="24"/>
          <w:szCs w:val="24"/>
          <w:bdr w:val="none" w:sz="0" w:space="0" w:color="auto"/>
          <w:lang w:val="en-US" w:eastAsia="nl-NL"/>
        </w:rPr>
        <w:t>ill announces that a regulation</w:t>
      </w:r>
      <w:r w:rsidRPr="003450F1">
        <w:rPr>
          <w:rFonts w:ascii="Times New Roman" w:eastAsiaTheme="minorEastAsia" w:hAnsi="Times New Roman" w:cs="Times New Roman"/>
          <w:sz w:val="24"/>
          <w:szCs w:val="24"/>
          <w:bdr w:val="none" w:sz="0" w:space="0" w:color="auto"/>
          <w:lang w:val="en-US" w:eastAsia="nl-NL"/>
        </w:rPr>
        <w:t xml:space="preserve"> will be adopted in order to lay down detailed enforcement rules to ensure the integrity and confidentiality of the data (new Article 5-1 (2) </w:t>
      </w:r>
      <w:r w:rsidR="00AD391B" w:rsidRPr="003450F1">
        <w:rPr>
          <w:rFonts w:ascii="Times New Roman" w:eastAsiaTheme="minorEastAsia" w:hAnsi="Times New Roman" w:cs="Times New Roman"/>
          <w:sz w:val="24"/>
          <w:szCs w:val="24"/>
          <w:bdr w:val="none" w:sz="0" w:space="0" w:color="auto"/>
          <w:lang w:val="en-US" w:eastAsia="nl-NL"/>
        </w:rPr>
        <w:t xml:space="preserve">of the </w:t>
      </w:r>
      <w:r w:rsidRPr="003450F1">
        <w:rPr>
          <w:rFonts w:ascii="Times New Roman" w:eastAsiaTheme="minorEastAsia" w:hAnsi="Times New Roman" w:cs="Times New Roman"/>
          <w:sz w:val="24"/>
          <w:szCs w:val="24"/>
          <w:bdr w:val="none" w:sz="0" w:space="0" w:color="auto"/>
          <w:lang w:val="en-US" w:eastAsia="nl-NL"/>
        </w:rPr>
        <w:t>Law of 30 May 2005).</w:t>
      </w:r>
    </w:p>
    <w:p w14:paraId="1C6020DE" w14:textId="22603FAC" w:rsidR="001E5ED6" w:rsidRDefault="001E5E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lang w:eastAsia="fr-FR"/>
        </w:rPr>
      </w:pPr>
      <w:r>
        <w:br w:type="page"/>
      </w:r>
    </w:p>
    <w:p w14:paraId="719BBC85" w14:textId="79573A30" w:rsidR="00B65427" w:rsidRDefault="001A711E" w:rsidP="001E5ED6">
      <w:pPr>
        <w:spacing w:after="120"/>
        <w:jc w:val="both"/>
      </w:pPr>
      <w:r w:rsidRPr="003450F1">
        <w:rPr>
          <w:b/>
        </w:rPr>
        <w:lastRenderedPageBreak/>
        <w:t xml:space="preserve">- Draft Bill No 6675, </w:t>
      </w:r>
      <w:r w:rsidRPr="003450F1">
        <w:t>submitted on 2 April 2014,</w:t>
      </w:r>
      <w:r w:rsidRPr="003450F1">
        <w:rPr>
          <w:b/>
        </w:rPr>
        <w:t xml:space="preserve"> </w:t>
      </w:r>
      <w:r w:rsidRPr="003450F1">
        <w:t>on the establishment of a state intelligence service and amending the Code of Criminal Procedure and of the Law of 30 May 2005. This Bill is still pending in Parliament.</w:t>
      </w:r>
      <w:r w:rsidRPr="003450F1">
        <w:rPr>
          <w:rStyle w:val="Odwoanieprzypisudolnego"/>
        </w:rPr>
        <w:footnoteReference w:id="108"/>
      </w:r>
    </w:p>
    <w:p w14:paraId="313AC009" w14:textId="77777777" w:rsidR="00122BD6" w:rsidRDefault="00122BD6" w:rsidP="001E5ED6">
      <w:pPr>
        <w:spacing w:after="120"/>
        <w:jc w:val="both"/>
      </w:pPr>
    </w:p>
    <w:p w14:paraId="2CC00AA9" w14:textId="77777777" w:rsidR="00122BD6" w:rsidRDefault="00122BD6" w:rsidP="001E5ED6">
      <w:pPr>
        <w:spacing w:after="120"/>
        <w:jc w:val="both"/>
      </w:pPr>
    </w:p>
    <w:p w14:paraId="0266A852" w14:textId="77777777" w:rsidR="00122BD6" w:rsidRDefault="00122BD6" w:rsidP="00122BD6">
      <w:pPr>
        <w:jc w:val="both"/>
      </w:pPr>
    </w:p>
    <w:p w14:paraId="37540D0F" w14:textId="352FED60" w:rsidR="00122BD6" w:rsidRDefault="00122BD6" w:rsidP="00122BD6">
      <w:pPr>
        <w:jc w:val="both"/>
      </w:pPr>
      <w:r>
        <w:rPr>
          <w:noProof/>
          <w:bdr w:val="none" w:sz="0" w:space="0" w:color="auto"/>
          <w:lang w:val="pl-PL" w:eastAsia="pl-PL"/>
        </w:rPr>
        <w:drawing>
          <wp:anchor distT="0" distB="0" distL="114300" distR="114300" simplePos="0" relativeHeight="251661312" behindDoc="0" locked="0" layoutInCell="1" allowOverlap="1" wp14:anchorId="39516399" wp14:editId="0501E80D">
            <wp:simplePos x="0" y="0"/>
            <wp:positionH relativeFrom="column">
              <wp:posOffset>2628900</wp:posOffset>
            </wp:positionH>
            <wp:positionV relativeFrom="paragraph">
              <wp:posOffset>16510</wp:posOffset>
            </wp:positionV>
            <wp:extent cx="526415" cy="351155"/>
            <wp:effectExtent l="0" t="0" r="6985" b="0"/>
            <wp:wrapSquare wrapText="bothSides"/>
            <wp:docPr id="2" name="Obraz 2" descr="Opis: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351155"/>
                    </a:xfrm>
                    <a:prstGeom prst="rect">
                      <a:avLst/>
                    </a:prstGeom>
                    <a:noFill/>
                  </pic:spPr>
                </pic:pic>
              </a:graphicData>
            </a:graphic>
            <wp14:sizeRelH relativeFrom="page">
              <wp14:pctWidth>0</wp14:pctWidth>
            </wp14:sizeRelH>
            <wp14:sizeRelV relativeFrom="page">
              <wp14:pctHeight>0</wp14:pctHeight>
            </wp14:sizeRelV>
          </wp:anchor>
        </w:drawing>
      </w:r>
    </w:p>
    <w:p w14:paraId="2E85C5EE" w14:textId="77777777" w:rsidR="00122BD6" w:rsidRDefault="00122BD6" w:rsidP="00122BD6">
      <w:pPr>
        <w:jc w:val="both"/>
      </w:pPr>
    </w:p>
    <w:p w14:paraId="5D06FEE5" w14:textId="77777777" w:rsidR="00122BD6" w:rsidRDefault="00122BD6" w:rsidP="00122BD6">
      <w:pPr>
        <w:jc w:val="both"/>
      </w:pPr>
    </w:p>
    <w:p w14:paraId="706D834F" w14:textId="77777777" w:rsidR="00122BD6" w:rsidRDefault="00122BD6" w:rsidP="00122BD6">
      <w:pPr>
        <w:jc w:val="center"/>
        <w:rPr>
          <w:color w:val="000090"/>
          <w:sz w:val="16"/>
          <w:szCs w:val="16"/>
        </w:rPr>
      </w:pPr>
      <w:r>
        <w:rPr>
          <w:rFonts w:cs="Courier"/>
          <w:color w:val="000090"/>
          <w:sz w:val="16"/>
          <w:szCs w:val="16"/>
        </w:rPr>
        <w:t xml:space="preserve">Co-funded by the Prevention of and Fight against Crime </w:t>
      </w:r>
      <w:proofErr w:type="spellStart"/>
      <w:r>
        <w:rPr>
          <w:rFonts w:cs="Courier"/>
          <w:color w:val="000090"/>
          <w:sz w:val="16"/>
          <w:szCs w:val="16"/>
        </w:rPr>
        <w:t>Programme</w:t>
      </w:r>
      <w:proofErr w:type="spellEnd"/>
      <w:r>
        <w:rPr>
          <w:rFonts w:cs="Courier"/>
          <w:color w:val="000090"/>
          <w:sz w:val="16"/>
          <w:szCs w:val="16"/>
        </w:rPr>
        <w:t xml:space="preserve"> of the European Union</w:t>
      </w:r>
    </w:p>
    <w:p w14:paraId="5E65D321" w14:textId="77777777" w:rsidR="00122BD6" w:rsidRDefault="00122BD6" w:rsidP="001E5ED6">
      <w:pPr>
        <w:spacing w:after="120"/>
        <w:jc w:val="both"/>
      </w:pPr>
    </w:p>
    <w:sectPr w:rsidR="00122BD6">
      <w:footerReference w:type="even"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19675" w14:textId="77777777" w:rsidR="00636B5F" w:rsidRDefault="00636B5F" w:rsidP="001A711E">
      <w:r>
        <w:separator/>
      </w:r>
    </w:p>
  </w:endnote>
  <w:endnote w:type="continuationSeparator" w:id="0">
    <w:p w14:paraId="38CB11DD" w14:textId="77777777" w:rsidR="00636B5F" w:rsidRDefault="00636B5F" w:rsidP="001A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Helvetica">
    <w:panose1 w:val="020B0604020202030204"/>
    <w:charset w:val="EE"/>
    <w:family w:val="swiss"/>
    <w:pitch w:val="variable"/>
    <w:sig w:usb0="00000007" w:usb1="00000000" w:usb2="00000000" w:usb3="00000000" w:csb0="00000093" w:csb1="00000000"/>
  </w:font>
  <w:font w:name="Segoe UI">
    <w:panose1 w:val="020B0502040204020203"/>
    <w:charset w:val="EE"/>
    <w:family w:val="swiss"/>
    <w:pitch w:val="variable"/>
    <w:sig w:usb0="E00022FF" w:usb1="C000205B" w:usb2="0000000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96E5" w14:textId="77777777" w:rsidR="00871E84" w:rsidRDefault="00871E84" w:rsidP="007553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4098EC" w14:textId="77777777" w:rsidR="00871E84" w:rsidRDefault="00871E84" w:rsidP="007553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3DA9" w14:textId="77777777" w:rsidR="00871E84" w:rsidRDefault="00871E84" w:rsidP="007553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564A">
      <w:rPr>
        <w:rStyle w:val="Numerstrony"/>
        <w:noProof/>
      </w:rPr>
      <w:t>23</w:t>
    </w:r>
    <w:r>
      <w:rPr>
        <w:rStyle w:val="Numerstrony"/>
      </w:rPr>
      <w:fldChar w:fldCharType="end"/>
    </w:r>
  </w:p>
  <w:p w14:paraId="3AFF6D2A" w14:textId="77777777" w:rsidR="00871E84" w:rsidRDefault="00871E84" w:rsidP="007553E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09B50" w14:textId="77777777" w:rsidR="00636B5F" w:rsidRDefault="00636B5F" w:rsidP="001A711E">
      <w:r>
        <w:separator/>
      </w:r>
    </w:p>
  </w:footnote>
  <w:footnote w:type="continuationSeparator" w:id="0">
    <w:p w14:paraId="30B8F45D" w14:textId="77777777" w:rsidR="00636B5F" w:rsidRDefault="00636B5F" w:rsidP="001A711E">
      <w:r>
        <w:continuationSeparator/>
      </w:r>
    </w:p>
  </w:footnote>
  <w:footnote w:id="1">
    <w:p w14:paraId="3B7B12B6"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sz w:val="20"/>
          <w:szCs w:val="20"/>
        </w:rPr>
        <w:t>Dr</w:t>
      </w:r>
      <w:proofErr w:type="spellEnd"/>
      <w:r w:rsidRPr="00344890">
        <w:rPr>
          <w:sz w:val="20"/>
          <w:szCs w:val="20"/>
        </w:rPr>
        <w:t xml:space="preserve"> Vanessa </w:t>
      </w:r>
      <w:proofErr w:type="spellStart"/>
      <w:r w:rsidRPr="00344890">
        <w:rPr>
          <w:smallCaps/>
          <w:sz w:val="20"/>
          <w:szCs w:val="20"/>
        </w:rPr>
        <w:t>Franssen</w:t>
      </w:r>
      <w:proofErr w:type="spellEnd"/>
      <w:r w:rsidRPr="00344890">
        <w:rPr>
          <w:sz w:val="20"/>
          <w:szCs w:val="20"/>
        </w:rPr>
        <w:t xml:space="preserve"> is a postdoctoral researcher at the University of Luxembourg and a senior affiliated researcher at the Institute of Criminal Law of the KU Leuven.</w:t>
      </w:r>
    </w:p>
  </w:footnote>
  <w:footnote w:id="2">
    <w:p w14:paraId="7B8998DF"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Prof. </w:t>
      </w:r>
      <w:proofErr w:type="spellStart"/>
      <w:r w:rsidRPr="00344890">
        <w:rPr>
          <w:sz w:val="20"/>
          <w:szCs w:val="20"/>
        </w:rPr>
        <w:t>Dr</w:t>
      </w:r>
      <w:proofErr w:type="spellEnd"/>
      <w:r w:rsidRPr="00344890">
        <w:rPr>
          <w:sz w:val="20"/>
          <w:szCs w:val="20"/>
        </w:rPr>
        <w:t xml:space="preserve"> </w:t>
      </w:r>
      <w:proofErr w:type="spellStart"/>
      <w:r w:rsidRPr="00344890">
        <w:rPr>
          <w:sz w:val="20"/>
          <w:szCs w:val="20"/>
        </w:rPr>
        <w:t>Katalin</w:t>
      </w:r>
      <w:proofErr w:type="spellEnd"/>
      <w:r w:rsidRPr="00344890">
        <w:rPr>
          <w:sz w:val="20"/>
          <w:szCs w:val="20"/>
        </w:rPr>
        <w:t xml:space="preserve"> </w:t>
      </w:r>
      <w:proofErr w:type="spellStart"/>
      <w:r w:rsidRPr="00344890">
        <w:rPr>
          <w:smallCaps/>
          <w:sz w:val="20"/>
          <w:szCs w:val="20"/>
        </w:rPr>
        <w:t>Ligeti</w:t>
      </w:r>
      <w:proofErr w:type="spellEnd"/>
      <w:r w:rsidRPr="00344890">
        <w:rPr>
          <w:sz w:val="20"/>
          <w:szCs w:val="20"/>
        </w:rPr>
        <w:t xml:space="preserve"> is a professor of criminal law at the University of Luxembourg.</w:t>
      </w:r>
    </w:p>
  </w:footnote>
  <w:footnote w:id="3">
    <w:p w14:paraId="68BA8B29" w14:textId="1D8A57BB"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The authors would like to thank Olivier </w:t>
      </w:r>
      <w:proofErr w:type="spellStart"/>
      <w:r w:rsidRPr="00344890">
        <w:rPr>
          <w:smallCaps/>
          <w:sz w:val="20"/>
          <w:szCs w:val="20"/>
        </w:rPr>
        <w:t>Dinet</w:t>
      </w:r>
      <w:proofErr w:type="spellEnd"/>
      <w:r w:rsidRPr="00344890">
        <w:rPr>
          <w:sz w:val="20"/>
          <w:szCs w:val="20"/>
        </w:rPr>
        <w:t xml:space="preserve"> and </w:t>
      </w:r>
      <w:proofErr w:type="spellStart"/>
      <w:r w:rsidRPr="00344890">
        <w:rPr>
          <w:sz w:val="20"/>
          <w:szCs w:val="20"/>
        </w:rPr>
        <w:t>Dr</w:t>
      </w:r>
      <w:proofErr w:type="spellEnd"/>
      <w:r w:rsidRPr="00344890">
        <w:rPr>
          <w:sz w:val="20"/>
          <w:szCs w:val="20"/>
        </w:rPr>
        <w:t xml:space="preserve"> Anna </w:t>
      </w:r>
      <w:proofErr w:type="spellStart"/>
      <w:r w:rsidRPr="00344890">
        <w:rPr>
          <w:smallCaps/>
          <w:sz w:val="20"/>
          <w:szCs w:val="20"/>
        </w:rPr>
        <w:t>Damaskou</w:t>
      </w:r>
      <w:proofErr w:type="spellEnd"/>
      <w:r w:rsidRPr="00344890">
        <w:rPr>
          <w:sz w:val="20"/>
          <w:szCs w:val="20"/>
        </w:rPr>
        <w:t xml:space="preserve"> for their valuable assistance in preparing this report.</w:t>
      </w:r>
    </w:p>
  </w:footnote>
  <w:footnote w:id="4">
    <w:p w14:paraId="57799051" w14:textId="2DE025FD"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See e.g. </w:t>
      </w:r>
      <w:hyperlink r:id="rId1" w:history="1">
        <w:r w:rsidRPr="00344890">
          <w:rPr>
            <w:rStyle w:val="Hipercze"/>
            <w:sz w:val="20"/>
            <w:szCs w:val="20"/>
          </w:rPr>
          <w:t>http://www.luxembourg.public.lu/fr/economie/economie-numerique/nouvelles-tech/index.html</w:t>
        </w:r>
      </w:hyperlink>
      <w:r w:rsidRPr="00344890">
        <w:rPr>
          <w:sz w:val="20"/>
          <w:szCs w:val="20"/>
        </w:rPr>
        <w:t xml:space="preserve"> . See also L. </w:t>
      </w:r>
      <w:proofErr w:type="spellStart"/>
      <w:r w:rsidRPr="00344890">
        <w:rPr>
          <w:smallCaps/>
          <w:sz w:val="20"/>
          <w:szCs w:val="20"/>
        </w:rPr>
        <w:t>Funck</w:t>
      </w:r>
      <w:proofErr w:type="spellEnd"/>
      <w:r w:rsidRPr="00344890">
        <w:rPr>
          <w:sz w:val="20"/>
          <w:szCs w:val="20"/>
        </w:rPr>
        <w:t xml:space="preserve">, “Chapter 17: Luxembourg”, </w:t>
      </w:r>
      <w:r w:rsidRPr="00344890">
        <w:rPr>
          <w:i/>
          <w:sz w:val="20"/>
          <w:szCs w:val="20"/>
        </w:rPr>
        <w:t>Technology, Media and Telecommunications Review</w:t>
      </w:r>
      <w:r w:rsidRPr="00344890">
        <w:rPr>
          <w:sz w:val="20"/>
          <w:szCs w:val="20"/>
        </w:rPr>
        <w:t xml:space="preserve"> 2014, (250) 251-252.</w:t>
      </w:r>
    </w:p>
  </w:footnote>
  <w:footnote w:id="5">
    <w:p w14:paraId="6DA246E5" w14:textId="5B57B351" w:rsidR="00871E84" w:rsidRPr="00344890" w:rsidRDefault="00871E84" w:rsidP="002637DA">
      <w:pPr>
        <w:jc w:val="both"/>
        <w:rPr>
          <w:sz w:val="20"/>
          <w:szCs w:val="20"/>
        </w:rPr>
      </w:pPr>
      <w:r w:rsidRPr="00344890">
        <w:rPr>
          <w:rStyle w:val="Odwoanieprzypisudolnego"/>
          <w:sz w:val="20"/>
          <w:szCs w:val="20"/>
        </w:rPr>
        <w:footnoteRef/>
      </w:r>
      <w:r w:rsidRPr="00344890">
        <w:rPr>
          <w:sz w:val="20"/>
          <w:szCs w:val="20"/>
        </w:rPr>
        <w:t xml:space="preserve"> See e.g. </w:t>
      </w:r>
      <w:hyperlink r:id="rId2" w:history="1">
        <w:r w:rsidRPr="00344890">
          <w:rPr>
            <w:rStyle w:val="Hipercze"/>
            <w:sz w:val="20"/>
            <w:szCs w:val="20"/>
          </w:rPr>
          <w:t>https://www.gouvernement.lu/3797584/communications-electroniques</w:t>
        </w:r>
      </w:hyperlink>
      <w:r w:rsidRPr="00344890">
        <w:rPr>
          <w:sz w:val="20"/>
          <w:szCs w:val="20"/>
        </w:rPr>
        <w:t xml:space="preserve"> . See also L. </w:t>
      </w:r>
      <w:proofErr w:type="spellStart"/>
      <w:r w:rsidRPr="00344890">
        <w:rPr>
          <w:smallCaps/>
          <w:sz w:val="20"/>
          <w:szCs w:val="20"/>
        </w:rPr>
        <w:t>Funck</w:t>
      </w:r>
      <w:proofErr w:type="spellEnd"/>
      <w:r w:rsidRPr="00344890">
        <w:rPr>
          <w:sz w:val="20"/>
          <w:szCs w:val="20"/>
        </w:rPr>
        <w:t xml:space="preserve">, “Chapter 17: Luxembourg”, </w:t>
      </w:r>
      <w:r w:rsidRPr="00344890">
        <w:rPr>
          <w:i/>
          <w:sz w:val="20"/>
          <w:szCs w:val="20"/>
        </w:rPr>
        <w:t>Technology, Media and Telecommunications Review</w:t>
      </w:r>
      <w:r w:rsidRPr="00344890">
        <w:rPr>
          <w:sz w:val="20"/>
          <w:szCs w:val="20"/>
        </w:rPr>
        <w:t xml:space="preserve"> 2014, (250) 259.</w:t>
      </w:r>
    </w:p>
  </w:footnote>
  <w:footnote w:id="6">
    <w:p w14:paraId="022C19AC" w14:textId="56D1EDC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hyperlink r:id="rId3" w:history="1">
        <w:r w:rsidRPr="00344890">
          <w:rPr>
            <w:rStyle w:val="Hipercze"/>
            <w:sz w:val="20"/>
            <w:szCs w:val="20"/>
          </w:rPr>
          <w:t>http://www.luxembourg.public.lu/fr/economie/economie-numerique/nouvelles-tech/index.html</w:t>
        </w:r>
      </w:hyperlink>
      <w:r w:rsidRPr="00344890">
        <w:rPr>
          <w:sz w:val="20"/>
          <w:szCs w:val="20"/>
        </w:rPr>
        <w:t xml:space="preserve"> .</w:t>
      </w:r>
    </w:p>
  </w:footnote>
  <w:footnote w:id="7">
    <w:p w14:paraId="0586A65F" w14:textId="75AB1FD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hyperlink r:id="rId4" w:history="1">
        <w:r w:rsidRPr="00344890">
          <w:rPr>
            <w:rStyle w:val="Hipercze"/>
            <w:sz w:val="20"/>
            <w:szCs w:val="20"/>
          </w:rPr>
          <w:t>https://www.bee-secure.lu/</w:t>
        </w:r>
      </w:hyperlink>
      <w:r w:rsidRPr="00344890">
        <w:rPr>
          <w:sz w:val="20"/>
          <w:szCs w:val="20"/>
        </w:rPr>
        <w:t xml:space="preserve"> .</w:t>
      </w:r>
    </w:p>
  </w:footnote>
  <w:footnote w:id="8">
    <w:p w14:paraId="19A942A3" w14:textId="40F0B0C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hyperlink r:id="rId5" w:history="1">
        <w:r w:rsidRPr="00344890">
          <w:rPr>
            <w:rStyle w:val="Hipercze"/>
            <w:sz w:val="20"/>
            <w:szCs w:val="20"/>
          </w:rPr>
          <w:t>https://stopline.bee-secure.lu/</w:t>
        </w:r>
      </w:hyperlink>
      <w:r w:rsidRPr="00344890">
        <w:rPr>
          <w:sz w:val="20"/>
          <w:szCs w:val="20"/>
        </w:rPr>
        <w:t xml:space="preserve"> .</w:t>
      </w:r>
    </w:p>
  </w:footnote>
  <w:footnote w:id="9">
    <w:p w14:paraId="0D6E1C91" w14:textId="6CBA94F0"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hyperlink r:id="rId6" w:history="1">
        <w:r w:rsidRPr="00344890">
          <w:rPr>
            <w:rStyle w:val="Hipercze"/>
            <w:sz w:val="20"/>
            <w:szCs w:val="20"/>
          </w:rPr>
          <w:t>http://www.inhope.org/gns/home.aspx</w:t>
        </w:r>
      </w:hyperlink>
      <w:r w:rsidRPr="00344890">
        <w:rPr>
          <w:sz w:val="20"/>
          <w:szCs w:val="20"/>
        </w:rPr>
        <w:t xml:space="preserve"> .</w:t>
      </w:r>
    </w:p>
  </w:footnote>
  <w:footnote w:id="10">
    <w:p w14:paraId="14FAC8F4" w14:textId="48AEEF2D"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sz w:val="20"/>
          <w:szCs w:val="20"/>
        </w:rPr>
        <w:t xml:space="preserve"> A No 73, 7 June 2005. Coordinated version published in </w:t>
      </w:r>
      <w:proofErr w:type="spellStart"/>
      <w:r w:rsidRPr="00344890">
        <w:rPr>
          <w:bCs/>
          <w:i/>
          <w:sz w:val="20"/>
          <w:szCs w:val="20"/>
        </w:rPr>
        <w:t>Mémorial</w:t>
      </w:r>
      <w:proofErr w:type="spellEnd"/>
      <w:r w:rsidRPr="00344890">
        <w:rPr>
          <w:bCs/>
          <w:sz w:val="20"/>
          <w:szCs w:val="20"/>
        </w:rPr>
        <w:t xml:space="preserve"> A No 172, 10 August 2002. </w:t>
      </w:r>
    </w:p>
  </w:footnote>
  <w:footnote w:id="11">
    <w:p w14:paraId="73FC05F7" w14:textId="7A1A60B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To be complete, the Law of 30 May 2005 transposes, consecutively, Directives 1995/46/EC, 2002/58/EC, 2006/24/EC and 2009/136/EC. Recently, it has also been amended by the Law of 18 July 2014, approving the </w:t>
      </w:r>
      <w:r w:rsidRPr="00344890">
        <w:rPr>
          <w:rFonts w:eastAsiaTheme="minorEastAsia"/>
          <w:sz w:val="20"/>
          <w:szCs w:val="20"/>
          <w:bdr w:val="none" w:sz="0" w:space="0" w:color="auto"/>
          <w:lang w:eastAsia="nl-NL"/>
        </w:rPr>
        <w:t xml:space="preserve">2001 Council of Europe Convention on Cybercrime (hereinafter: the Budapest Convention), </w:t>
      </w:r>
      <w:proofErr w:type="spellStart"/>
      <w:r w:rsidRPr="00344890">
        <w:rPr>
          <w:rFonts w:eastAsiaTheme="minorEastAsia"/>
          <w:i/>
          <w:sz w:val="20"/>
          <w:szCs w:val="20"/>
          <w:bdr w:val="none" w:sz="0" w:space="0" w:color="auto"/>
          <w:lang w:eastAsia="nl-NL"/>
        </w:rPr>
        <w:t>Mémorial</w:t>
      </w:r>
      <w:proofErr w:type="spellEnd"/>
      <w:r w:rsidRPr="00344890">
        <w:rPr>
          <w:rFonts w:eastAsiaTheme="minorEastAsia"/>
          <w:sz w:val="20"/>
          <w:szCs w:val="20"/>
          <w:bdr w:val="none" w:sz="0" w:space="0" w:color="auto"/>
          <w:lang w:eastAsia="nl-NL"/>
        </w:rPr>
        <w:t xml:space="preserve"> A No 133, 25 July 2014, republished in </w:t>
      </w:r>
      <w:proofErr w:type="spellStart"/>
      <w:r w:rsidRPr="00344890">
        <w:rPr>
          <w:rFonts w:eastAsiaTheme="minorEastAsia"/>
          <w:i/>
          <w:sz w:val="20"/>
          <w:szCs w:val="20"/>
          <w:bdr w:val="none" w:sz="0" w:space="0" w:color="auto"/>
          <w:lang w:eastAsia="nl-NL"/>
        </w:rPr>
        <w:t>Mémorial</w:t>
      </w:r>
      <w:proofErr w:type="spellEnd"/>
      <w:r w:rsidRPr="00344890">
        <w:rPr>
          <w:rFonts w:eastAsiaTheme="minorEastAsia"/>
          <w:sz w:val="20"/>
          <w:szCs w:val="20"/>
          <w:bdr w:val="none" w:sz="0" w:space="0" w:color="auto"/>
          <w:lang w:eastAsia="nl-NL"/>
        </w:rPr>
        <w:t xml:space="preserve"> A No157, 12 August 2014.</w:t>
      </w:r>
    </w:p>
  </w:footnote>
  <w:footnote w:id="12">
    <w:p w14:paraId="2B34CA65" w14:textId="496D2325" w:rsidR="00871E84" w:rsidRPr="003A3E0C" w:rsidRDefault="00871E84">
      <w:pPr>
        <w:pStyle w:val="Tekstprzypisudolnego"/>
      </w:pPr>
      <w:r w:rsidRPr="003A3E0C">
        <w:rPr>
          <w:rStyle w:val="Odwoanieprzypisudolnego"/>
          <w:sz w:val="20"/>
          <w:szCs w:val="20"/>
        </w:rPr>
        <w:footnoteRef/>
      </w:r>
      <w:r w:rsidRPr="003A3E0C">
        <w:rPr>
          <w:sz w:val="20"/>
          <w:szCs w:val="20"/>
        </w:rPr>
        <w:t xml:space="preserve"> In full: Directive 2002/21/EC of the European Parliament and of the Council of 7 March 2002 on a common</w:t>
      </w:r>
      <w:r>
        <w:rPr>
          <w:sz w:val="20"/>
          <w:szCs w:val="20"/>
        </w:rPr>
        <w:t xml:space="preserve"> regulatory framework for electronic communications networks and services, </w:t>
      </w:r>
      <w:r>
        <w:rPr>
          <w:i/>
          <w:sz w:val="20"/>
          <w:szCs w:val="20"/>
        </w:rPr>
        <w:t>OJ</w:t>
      </w:r>
      <w:r>
        <w:rPr>
          <w:sz w:val="20"/>
          <w:szCs w:val="20"/>
        </w:rPr>
        <w:t xml:space="preserve"> L 108, 24 April 2002, 33.</w:t>
      </w:r>
    </w:p>
  </w:footnote>
  <w:footnote w:id="13">
    <w:p w14:paraId="267DBFF4" w14:textId="33DD8A52" w:rsidR="00871E84" w:rsidRPr="00344890" w:rsidRDefault="00871E84" w:rsidP="003A3E0C">
      <w:pPr>
        <w:pStyle w:val="Tekstprzypisudolnego"/>
        <w:rPr>
          <w:sz w:val="20"/>
          <w:szCs w:val="20"/>
        </w:rPr>
      </w:pPr>
      <w:r w:rsidRPr="00344890">
        <w:rPr>
          <w:rStyle w:val="Odwoanieprzypisudolnego"/>
          <w:sz w:val="20"/>
          <w:szCs w:val="20"/>
        </w:rPr>
        <w:footnoteRef/>
      </w:r>
      <w:r w:rsidRPr="00344890">
        <w:rPr>
          <w:sz w:val="20"/>
          <w:szCs w:val="20"/>
        </w:rPr>
        <w:t xml:space="preserve"> In full :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 </w:t>
      </w:r>
      <w:r w:rsidRPr="00344890">
        <w:rPr>
          <w:i/>
          <w:sz w:val="20"/>
          <w:szCs w:val="20"/>
        </w:rPr>
        <w:t>OJ</w:t>
      </w:r>
      <w:r w:rsidRPr="00344890">
        <w:rPr>
          <w:sz w:val="20"/>
          <w:szCs w:val="20"/>
        </w:rPr>
        <w:t xml:space="preserve"> L 105, 13 April 2006, 54. This Directive was invalided by the EU Court of Justice on 8 April 2014 (CJEU, Joined Cases C-293/12 and C-594/12, </w:t>
      </w:r>
      <w:r w:rsidRPr="00344890">
        <w:rPr>
          <w:i/>
          <w:sz w:val="20"/>
          <w:szCs w:val="20"/>
        </w:rPr>
        <w:t>Digital Rights Ireland Ltd v. Minister for Communications, Marine and Natural Resources and Others</w:t>
      </w:r>
      <w:r w:rsidRPr="00344890">
        <w:rPr>
          <w:sz w:val="20"/>
          <w:szCs w:val="20"/>
        </w:rPr>
        <w:t>, 8 April 2014).</w:t>
      </w:r>
    </w:p>
  </w:footnote>
  <w:footnote w:id="14">
    <w:p w14:paraId="31335BF7" w14:textId="09B4A12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1 of the Law 30 May 2005. Unlike Article 1 of the Data Retention Directive, the Luxembourgish Law does not include an ‘or’ between ‘publicly available electronic communications services’ and ‘of public communications networks.’ </w:t>
      </w:r>
      <w:r w:rsidRPr="00344890">
        <w:rPr>
          <w:sz w:val="20"/>
          <w:szCs w:val="20"/>
          <w:lang w:val="fr-FR"/>
        </w:rPr>
        <w:t xml:space="preserve">The French text of the Law states the following: ‘les dispositions suivantes s’appliquent spécifiquement au traitement de ces données à caractère personnel </w:t>
      </w:r>
      <w:r w:rsidRPr="00344890">
        <w:rPr>
          <w:i/>
          <w:sz w:val="20"/>
          <w:szCs w:val="20"/>
          <w:lang w:val="fr-FR"/>
        </w:rPr>
        <w:t>dans le cadre de la fourniture de services de communications électroniques accessibles au public sur les réseaux de communications publics</w:t>
      </w:r>
      <w:r w:rsidRPr="00344890">
        <w:rPr>
          <w:sz w:val="20"/>
          <w:szCs w:val="20"/>
          <w:lang w:val="fr-FR"/>
        </w:rPr>
        <w:t xml:space="preserve">.’ </w:t>
      </w:r>
      <w:r w:rsidRPr="00344890">
        <w:rPr>
          <w:sz w:val="20"/>
          <w:szCs w:val="20"/>
        </w:rPr>
        <w:t>(italics added)</w:t>
      </w:r>
    </w:p>
  </w:footnote>
  <w:footnote w:id="15">
    <w:p w14:paraId="6313657E" w14:textId="6A8A268A" w:rsidR="00871E84" w:rsidRPr="00EF0A56"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w:t>
      </w:r>
      <w:r>
        <w:rPr>
          <w:sz w:val="20"/>
          <w:szCs w:val="20"/>
        </w:rPr>
        <w:t xml:space="preserve">2 (j) of the Law of 30 May 2005; </w:t>
      </w:r>
      <w:r w:rsidRPr="00EF0A56">
        <w:rPr>
          <w:i/>
          <w:sz w:val="20"/>
          <w:szCs w:val="20"/>
        </w:rPr>
        <w:t>cf.</w:t>
      </w:r>
      <w:r w:rsidRPr="00EF0A56">
        <w:rPr>
          <w:sz w:val="20"/>
          <w:szCs w:val="20"/>
        </w:rPr>
        <w:t xml:space="preserve"> </w:t>
      </w:r>
      <w:r w:rsidRPr="00EF0A56">
        <w:rPr>
          <w:rStyle w:val="Odwoaniedokomentarza"/>
          <w:sz w:val="20"/>
          <w:szCs w:val="20"/>
        </w:rPr>
        <w:t xml:space="preserve">Article 2 (d) of Framework </w:t>
      </w:r>
      <w:r w:rsidRPr="00EF0A56">
        <w:rPr>
          <w:sz w:val="20"/>
          <w:szCs w:val="20"/>
        </w:rPr>
        <w:t>Directive 2002/21/EC.</w:t>
      </w:r>
    </w:p>
  </w:footnote>
  <w:footnote w:id="16">
    <w:p w14:paraId="67A1BE0A" w14:textId="2B94222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w:t>
      </w:r>
      <w:r>
        <w:rPr>
          <w:sz w:val="20"/>
          <w:szCs w:val="20"/>
        </w:rPr>
        <w:t>2 (j) of the Law of 30 May 2005</w:t>
      </w:r>
      <w:r w:rsidRPr="00EF0A56">
        <w:rPr>
          <w:sz w:val="20"/>
          <w:szCs w:val="20"/>
        </w:rPr>
        <w:t>.</w:t>
      </w:r>
    </w:p>
  </w:footnote>
  <w:footnote w:id="17">
    <w:p w14:paraId="6954E754" w14:textId="497F16A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w:t>
      </w:r>
      <w:r>
        <w:rPr>
          <w:sz w:val="20"/>
          <w:szCs w:val="20"/>
        </w:rPr>
        <w:t>2 (</w:t>
      </w:r>
      <w:proofErr w:type="spellStart"/>
      <w:r>
        <w:rPr>
          <w:sz w:val="20"/>
          <w:szCs w:val="20"/>
        </w:rPr>
        <w:t>i</w:t>
      </w:r>
      <w:proofErr w:type="spellEnd"/>
      <w:r>
        <w:rPr>
          <w:sz w:val="20"/>
          <w:szCs w:val="20"/>
        </w:rPr>
        <w:t xml:space="preserve">) of the Law of 30 May 2005; </w:t>
      </w:r>
      <w:r w:rsidRPr="00EF0A56">
        <w:rPr>
          <w:i/>
          <w:sz w:val="20"/>
          <w:szCs w:val="20"/>
        </w:rPr>
        <w:t>cf.</w:t>
      </w:r>
      <w:r w:rsidRPr="00EF0A56">
        <w:rPr>
          <w:sz w:val="20"/>
          <w:szCs w:val="20"/>
        </w:rPr>
        <w:t xml:space="preserve"> </w:t>
      </w:r>
      <w:r>
        <w:rPr>
          <w:rStyle w:val="Odwoaniedokomentarza"/>
          <w:sz w:val="20"/>
          <w:szCs w:val="20"/>
        </w:rPr>
        <w:t>Article 2 (a</w:t>
      </w:r>
      <w:r w:rsidRPr="00EF0A56">
        <w:rPr>
          <w:rStyle w:val="Odwoaniedokomentarza"/>
          <w:sz w:val="20"/>
          <w:szCs w:val="20"/>
        </w:rPr>
        <w:t xml:space="preserve">) of Framework </w:t>
      </w:r>
      <w:r w:rsidRPr="00EF0A56">
        <w:rPr>
          <w:sz w:val="20"/>
          <w:szCs w:val="20"/>
        </w:rPr>
        <w:t>Directive 2002/21/EC.</w:t>
      </w:r>
    </w:p>
  </w:footnote>
  <w:footnote w:id="18">
    <w:p w14:paraId="4139CAC8" w14:textId="39FACA7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(k) of the Law of 30 May</w:t>
      </w:r>
      <w:r>
        <w:rPr>
          <w:sz w:val="20"/>
          <w:szCs w:val="20"/>
        </w:rPr>
        <w:t xml:space="preserve"> 2005, italics added; </w:t>
      </w:r>
      <w:r w:rsidRPr="00EF0A56">
        <w:rPr>
          <w:i/>
          <w:sz w:val="20"/>
          <w:szCs w:val="20"/>
        </w:rPr>
        <w:t>cf.</w:t>
      </w:r>
      <w:r w:rsidRPr="00EF0A56">
        <w:rPr>
          <w:sz w:val="20"/>
          <w:szCs w:val="20"/>
        </w:rPr>
        <w:t xml:space="preserve"> </w:t>
      </w:r>
      <w:r>
        <w:rPr>
          <w:rStyle w:val="Odwoaniedokomentarza"/>
          <w:sz w:val="20"/>
          <w:szCs w:val="20"/>
        </w:rPr>
        <w:t>Article 2 (c</w:t>
      </w:r>
      <w:r w:rsidRPr="00EF0A56">
        <w:rPr>
          <w:rStyle w:val="Odwoaniedokomentarza"/>
          <w:sz w:val="20"/>
          <w:szCs w:val="20"/>
        </w:rPr>
        <w:t xml:space="preserve">) of Framework </w:t>
      </w:r>
      <w:r w:rsidRPr="00EF0A56">
        <w:rPr>
          <w:sz w:val="20"/>
          <w:szCs w:val="20"/>
        </w:rPr>
        <w:t>Directive 2002/21/EC.</w:t>
      </w:r>
    </w:p>
  </w:footnote>
  <w:footnote w:id="19">
    <w:p w14:paraId="6CC8CD62"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i/>
          <w:sz w:val="20"/>
          <w:szCs w:val="20"/>
        </w:rPr>
        <w:t>Mémorial</w:t>
      </w:r>
      <w:proofErr w:type="spellEnd"/>
      <w:r w:rsidRPr="00344890">
        <w:rPr>
          <w:sz w:val="20"/>
          <w:szCs w:val="20"/>
        </w:rPr>
        <w:t xml:space="preserve"> </w:t>
      </w:r>
      <w:r w:rsidRPr="00344890">
        <w:rPr>
          <w:bCs/>
          <w:sz w:val="20"/>
          <w:szCs w:val="20"/>
        </w:rPr>
        <w:t>A No 96, 8 September 2000. This Law was amended by the Law of 2 April 2014 (</w:t>
      </w:r>
      <w:proofErr w:type="spellStart"/>
      <w:r w:rsidRPr="00344890">
        <w:rPr>
          <w:i/>
          <w:sz w:val="20"/>
          <w:szCs w:val="20"/>
        </w:rPr>
        <w:t>Mémorial</w:t>
      </w:r>
      <w:proofErr w:type="spellEnd"/>
      <w:r w:rsidRPr="00344890">
        <w:rPr>
          <w:sz w:val="20"/>
          <w:szCs w:val="20"/>
        </w:rPr>
        <w:t xml:space="preserve"> </w:t>
      </w:r>
      <w:r w:rsidRPr="00344890">
        <w:rPr>
          <w:bCs/>
          <w:sz w:val="20"/>
          <w:szCs w:val="20"/>
        </w:rPr>
        <w:t>A No 64, 22 April 2014).</w:t>
      </w:r>
    </w:p>
  </w:footnote>
  <w:footnote w:id="20">
    <w:p w14:paraId="6E7C0FB3"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In full: </w:t>
      </w:r>
      <w:r w:rsidRPr="00344890">
        <w:rPr>
          <w:bCs/>
          <w:sz w:val="20"/>
          <w:szCs w:val="20"/>
        </w:rPr>
        <w:t xml:space="preserve">Directive 2000/31/EC of the European Parliament and of the Council of 8 June 2000 on certain legal aspects of information society services, in particular electronic commerce, in the Internal Market, </w:t>
      </w:r>
      <w:r w:rsidRPr="00344890">
        <w:rPr>
          <w:bCs/>
          <w:i/>
          <w:sz w:val="20"/>
          <w:szCs w:val="20"/>
        </w:rPr>
        <w:t>OJ</w:t>
      </w:r>
      <w:r w:rsidRPr="00344890">
        <w:rPr>
          <w:bCs/>
          <w:sz w:val="20"/>
          <w:szCs w:val="20"/>
        </w:rPr>
        <w:t xml:space="preserve"> L 178, 17 July 2000, 1.</w:t>
      </w:r>
    </w:p>
  </w:footnote>
  <w:footnote w:id="21">
    <w:p w14:paraId="506EE8C1" w14:textId="022BC928"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bCs/>
          <w:sz w:val="20"/>
          <w:szCs w:val="20"/>
        </w:rPr>
        <w:t xml:space="preserve">According to the EU Court of Justice, information society services ‘covers the provision of online information services for which the service provider is remunerated, not by the recipient, but by income generated by advertisements posted on a website.’ </w:t>
      </w:r>
      <w:r w:rsidRPr="00344890">
        <w:rPr>
          <w:sz w:val="20"/>
          <w:szCs w:val="20"/>
        </w:rPr>
        <w:t xml:space="preserve">See CJEU, Case C-291/13, </w:t>
      </w:r>
      <w:r w:rsidRPr="00344890">
        <w:rPr>
          <w:i/>
          <w:sz w:val="20"/>
          <w:szCs w:val="20"/>
        </w:rPr>
        <w:t xml:space="preserve">Sotiris </w:t>
      </w:r>
      <w:proofErr w:type="spellStart"/>
      <w:r w:rsidRPr="00344890">
        <w:rPr>
          <w:i/>
          <w:sz w:val="20"/>
          <w:szCs w:val="20"/>
        </w:rPr>
        <w:t>Papasavvas</w:t>
      </w:r>
      <w:proofErr w:type="spellEnd"/>
      <w:r w:rsidRPr="00344890">
        <w:rPr>
          <w:i/>
          <w:sz w:val="20"/>
          <w:szCs w:val="20"/>
        </w:rPr>
        <w:t xml:space="preserve"> v O </w:t>
      </w:r>
      <w:proofErr w:type="spellStart"/>
      <w:r w:rsidRPr="00344890">
        <w:rPr>
          <w:i/>
          <w:sz w:val="20"/>
          <w:szCs w:val="20"/>
        </w:rPr>
        <w:t>Fileleftheros</w:t>
      </w:r>
      <w:proofErr w:type="spellEnd"/>
      <w:r w:rsidRPr="00344890">
        <w:rPr>
          <w:i/>
          <w:sz w:val="20"/>
          <w:szCs w:val="20"/>
        </w:rPr>
        <w:t xml:space="preserve"> </w:t>
      </w:r>
      <w:proofErr w:type="spellStart"/>
      <w:r w:rsidRPr="00344890">
        <w:rPr>
          <w:i/>
          <w:sz w:val="20"/>
          <w:szCs w:val="20"/>
        </w:rPr>
        <w:t>Dimosia</w:t>
      </w:r>
      <w:proofErr w:type="spellEnd"/>
      <w:r w:rsidRPr="00344890">
        <w:rPr>
          <w:i/>
          <w:sz w:val="20"/>
          <w:szCs w:val="20"/>
        </w:rPr>
        <w:t xml:space="preserve"> </w:t>
      </w:r>
      <w:proofErr w:type="spellStart"/>
      <w:r w:rsidRPr="00344890">
        <w:rPr>
          <w:i/>
          <w:sz w:val="20"/>
          <w:szCs w:val="20"/>
        </w:rPr>
        <w:t>Etaireia</w:t>
      </w:r>
      <w:proofErr w:type="spellEnd"/>
      <w:r w:rsidRPr="00344890">
        <w:rPr>
          <w:i/>
          <w:sz w:val="20"/>
          <w:szCs w:val="20"/>
        </w:rPr>
        <w:t xml:space="preserve"> Ltd and Others</w:t>
      </w:r>
      <w:r w:rsidRPr="00344890">
        <w:rPr>
          <w:sz w:val="20"/>
          <w:szCs w:val="20"/>
        </w:rPr>
        <w:t>, 11 September 2014, para. 30.</w:t>
      </w:r>
    </w:p>
  </w:footnote>
  <w:footnote w:id="22">
    <w:p w14:paraId="12587B08" w14:textId="0826946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1, para. 1 of the Law of 14 August 2000.</w:t>
      </w:r>
    </w:p>
  </w:footnote>
  <w:footnote w:id="23">
    <w:p w14:paraId="2F5A7369" w14:textId="4B1869DE"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1, para. 2 of the Law of 14 August 2000. </w:t>
      </w:r>
      <w:r w:rsidRPr="00344890">
        <w:rPr>
          <w:i/>
          <w:sz w:val="20"/>
          <w:szCs w:val="20"/>
        </w:rPr>
        <w:t>Cf.</w:t>
      </w:r>
      <w:r w:rsidRPr="00344890">
        <w:rPr>
          <w:sz w:val="20"/>
          <w:szCs w:val="20"/>
        </w:rPr>
        <w:t xml:space="preserve"> Article 2 (b) Directive on Electronic Commerce.</w:t>
      </w:r>
    </w:p>
  </w:footnote>
  <w:footnote w:id="24">
    <w:p w14:paraId="287343D5" w14:textId="02A24ECE"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bCs/>
          <w:sz w:val="20"/>
          <w:szCs w:val="20"/>
        </w:rPr>
        <w:t xml:space="preserve">Article 60 </w:t>
      </w:r>
      <w:r w:rsidRPr="00344890">
        <w:rPr>
          <w:sz w:val="20"/>
          <w:szCs w:val="20"/>
        </w:rPr>
        <w:t xml:space="preserve">of the </w:t>
      </w:r>
      <w:r w:rsidRPr="00344890">
        <w:rPr>
          <w:bCs/>
          <w:sz w:val="20"/>
          <w:szCs w:val="20"/>
        </w:rPr>
        <w:t>Law of 14 August 2000.</w:t>
      </w:r>
    </w:p>
  </w:footnote>
  <w:footnote w:id="25">
    <w:p w14:paraId="68FE1B51" w14:textId="09DA488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bCs/>
          <w:sz w:val="20"/>
          <w:szCs w:val="20"/>
        </w:rPr>
        <w:t xml:space="preserve">Article 61 </w:t>
      </w:r>
      <w:r w:rsidRPr="00344890">
        <w:rPr>
          <w:sz w:val="20"/>
          <w:szCs w:val="20"/>
        </w:rPr>
        <w:t>of the</w:t>
      </w:r>
      <w:r w:rsidRPr="00344890">
        <w:rPr>
          <w:bCs/>
          <w:sz w:val="20"/>
          <w:szCs w:val="20"/>
        </w:rPr>
        <w:t xml:space="preserve"> Law of 14 August 2000.</w:t>
      </w:r>
    </w:p>
  </w:footnote>
  <w:footnote w:id="26">
    <w:p w14:paraId="776AE390" w14:textId="161C9AA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bCs/>
          <w:sz w:val="20"/>
          <w:szCs w:val="20"/>
        </w:rPr>
        <w:t xml:space="preserve">Article 62 </w:t>
      </w:r>
      <w:r w:rsidRPr="00344890">
        <w:rPr>
          <w:sz w:val="20"/>
          <w:szCs w:val="20"/>
        </w:rPr>
        <w:t xml:space="preserve">of the </w:t>
      </w:r>
      <w:r w:rsidRPr="00344890">
        <w:rPr>
          <w:bCs/>
          <w:sz w:val="20"/>
          <w:szCs w:val="20"/>
        </w:rPr>
        <w:t>Law of 14 August 2000.</w:t>
      </w:r>
    </w:p>
  </w:footnote>
  <w:footnote w:id="27">
    <w:p w14:paraId="0A4D905A" w14:textId="492EC23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sz w:val="20"/>
          <w:szCs w:val="20"/>
        </w:rPr>
        <w:t xml:space="preserve"> A No 43, 8 March 2011. This Law repeals the Law of 30 May 2005 on electronic communications networks and services (Article 84 Law of 27 February 2011).</w:t>
      </w:r>
    </w:p>
  </w:footnote>
  <w:footnote w:id="28">
    <w:p w14:paraId="37A9C922" w14:textId="626633C3"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(25) of the Law of 27 February 2011, italics added.</w:t>
      </w:r>
    </w:p>
  </w:footnote>
  <w:footnote w:id="29">
    <w:p w14:paraId="375F7D38" w14:textId="05DCAF0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(28) of the Law of 27 February 2011.</w:t>
      </w:r>
    </w:p>
  </w:footnote>
  <w:footnote w:id="30">
    <w:p w14:paraId="4D09E827" w14:textId="7E33B50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1 of the Law of 30 May 2005.</w:t>
      </w:r>
    </w:p>
  </w:footnote>
  <w:footnote w:id="31">
    <w:p w14:paraId="33A48166" w14:textId="400070EF"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M. </w:t>
      </w:r>
      <w:r w:rsidRPr="00344890">
        <w:rPr>
          <w:smallCaps/>
          <w:sz w:val="20"/>
          <w:szCs w:val="20"/>
          <w:lang w:val="fr-FR"/>
        </w:rPr>
        <w:t>Braun</w:t>
      </w:r>
      <w:r w:rsidRPr="00344890">
        <w:rPr>
          <w:sz w:val="20"/>
          <w:szCs w:val="20"/>
          <w:lang w:val="fr-FR"/>
        </w:rPr>
        <w:t xml:space="preserve">, “La ratification de la Convention de Budapest sur la cybercriminalité par le Luxembourg”, </w:t>
      </w:r>
      <w:r w:rsidRPr="00344890">
        <w:rPr>
          <w:i/>
          <w:sz w:val="20"/>
          <w:szCs w:val="20"/>
          <w:lang w:val="fr-FR"/>
        </w:rPr>
        <w:t>JT Luxembourg</w:t>
      </w:r>
      <w:r w:rsidRPr="00344890">
        <w:rPr>
          <w:sz w:val="20"/>
          <w:szCs w:val="20"/>
          <w:lang w:val="fr-FR"/>
        </w:rPr>
        <w:t xml:space="preserve"> 2014, (121) 129. See also </w:t>
      </w:r>
      <w:r w:rsidRPr="00344890">
        <w:rPr>
          <w:sz w:val="20"/>
          <w:szCs w:val="20"/>
          <w:shd w:val="clear" w:color="auto" w:fill="FFFFFF"/>
          <w:lang w:val="fr-FR"/>
        </w:rPr>
        <w:t xml:space="preserve">T. </w:t>
      </w:r>
      <w:r w:rsidRPr="00344890">
        <w:rPr>
          <w:smallCaps/>
          <w:sz w:val="20"/>
          <w:szCs w:val="20"/>
          <w:shd w:val="clear" w:color="auto" w:fill="FFFFFF"/>
          <w:lang w:val="fr-FR"/>
        </w:rPr>
        <w:t>Reisch</w:t>
      </w:r>
      <w:r w:rsidRPr="00344890">
        <w:rPr>
          <w:sz w:val="20"/>
          <w:szCs w:val="20"/>
          <w:shd w:val="clear" w:color="auto" w:fill="FFFFFF"/>
          <w:lang w:val="fr-FR"/>
        </w:rPr>
        <w:t xml:space="preserve">, </w:t>
      </w:r>
      <w:r w:rsidRPr="00344890">
        <w:rPr>
          <w:i/>
          <w:iCs/>
          <w:sz w:val="20"/>
          <w:szCs w:val="20"/>
          <w:shd w:val="clear" w:color="auto" w:fill="FFFFFF"/>
          <w:lang w:val="fr-FR"/>
        </w:rPr>
        <w:t>Internet et les nouvelles technologies de la communication face au droit luxembourgeois</w:t>
      </w:r>
      <w:r w:rsidRPr="00344890">
        <w:rPr>
          <w:sz w:val="20"/>
          <w:szCs w:val="20"/>
          <w:shd w:val="clear" w:color="auto" w:fill="FFFFFF"/>
          <w:lang w:val="fr-FR"/>
        </w:rPr>
        <w:t>, Luxembourg, Mike Koedinger Editions, 2008, 78, see also 60-63.</w:t>
      </w:r>
    </w:p>
  </w:footnote>
  <w:footnote w:id="32">
    <w:p w14:paraId="4904E8E4"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130.</w:t>
      </w:r>
    </w:p>
  </w:footnote>
  <w:footnote w:id="33">
    <w:p w14:paraId="5C674D91"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The Convention was </w:t>
      </w:r>
      <w:r w:rsidRPr="00344890">
        <w:rPr>
          <w:rFonts w:eastAsiaTheme="minorEastAsia"/>
          <w:sz w:val="20"/>
          <w:szCs w:val="20"/>
          <w:bdr w:val="none" w:sz="0" w:space="0" w:color="auto"/>
          <w:lang w:eastAsia="nl-NL"/>
        </w:rPr>
        <w:t>signed by Luxembourg on 28 January 2003, ratified on 16 October 2014 and implemented by the Law of 18 July 2014 (</w:t>
      </w:r>
      <w:proofErr w:type="spellStart"/>
      <w:r w:rsidRPr="00344890">
        <w:rPr>
          <w:rFonts w:eastAsiaTheme="minorEastAsia"/>
          <w:i/>
          <w:sz w:val="20"/>
          <w:szCs w:val="20"/>
          <w:bdr w:val="none" w:sz="0" w:space="0" w:color="auto"/>
          <w:lang w:eastAsia="nl-NL"/>
        </w:rPr>
        <w:t>Mémorial</w:t>
      </w:r>
      <w:proofErr w:type="spellEnd"/>
      <w:r w:rsidRPr="00344890">
        <w:rPr>
          <w:rFonts w:eastAsiaTheme="minorEastAsia"/>
          <w:sz w:val="20"/>
          <w:szCs w:val="20"/>
          <w:bdr w:val="none" w:sz="0" w:space="0" w:color="auto"/>
          <w:lang w:eastAsia="nl-NL"/>
        </w:rPr>
        <w:t xml:space="preserve"> A No 133, 25 July 2014, republished in </w:t>
      </w:r>
      <w:proofErr w:type="spellStart"/>
      <w:r w:rsidRPr="00344890">
        <w:rPr>
          <w:rFonts w:eastAsiaTheme="minorEastAsia"/>
          <w:i/>
          <w:sz w:val="20"/>
          <w:szCs w:val="20"/>
          <w:bdr w:val="none" w:sz="0" w:space="0" w:color="auto"/>
          <w:lang w:eastAsia="nl-NL"/>
        </w:rPr>
        <w:t>Mémorial</w:t>
      </w:r>
      <w:proofErr w:type="spellEnd"/>
      <w:r w:rsidRPr="00344890">
        <w:rPr>
          <w:rFonts w:eastAsiaTheme="minorEastAsia"/>
          <w:sz w:val="20"/>
          <w:szCs w:val="20"/>
          <w:bdr w:val="none" w:sz="0" w:space="0" w:color="auto"/>
          <w:lang w:eastAsia="nl-NL"/>
        </w:rPr>
        <w:t xml:space="preserve"> A No157, 12 August 2014).</w:t>
      </w:r>
    </w:p>
  </w:footnote>
  <w:footnote w:id="34">
    <w:p w14:paraId="3AD3F8D8" w14:textId="2FB6625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CJEU, Joined Cases C-293/12 and C-594/12, </w:t>
      </w:r>
      <w:r w:rsidRPr="00344890">
        <w:rPr>
          <w:i/>
          <w:sz w:val="20"/>
          <w:szCs w:val="20"/>
        </w:rPr>
        <w:t>Digital Rights Ireland Ltd v. Minister for Communications, Marine and Natural Resources and Others</w:t>
      </w:r>
      <w:r w:rsidRPr="00344890">
        <w:rPr>
          <w:sz w:val="20"/>
          <w:szCs w:val="20"/>
        </w:rPr>
        <w:t>, 8 April 2014.</w:t>
      </w:r>
    </w:p>
  </w:footnote>
  <w:footnote w:id="35">
    <w:p w14:paraId="743CE000" w14:textId="20B48F5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Traffic data are defined by Article 2 (e) of the Law 30 May 2005.</w:t>
      </w:r>
    </w:p>
  </w:footnote>
  <w:footnote w:id="36">
    <w:p w14:paraId="5E6A56AF" w14:textId="49EB75F0"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Location data are defined by Article 2 (f) of the Law 30 May 2005.</w:t>
      </w:r>
    </w:p>
  </w:footnote>
  <w:footnote w:id="37">
    <w:p w14:paraId="10D10C02" w14:textId="681CA43F"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 should be noted that the Luxembourgish system follows the old French distinction between – in decreasing order of seriousness – crimes (‘</w:t>
      </w:r>
      <w:r w:rsidRPr="00344890">
        <w:rPr>
          <w:i/>
          <w:sz w:val="20"/>
          <w:szCs w:val="20"/>
        </w:rPr>
        <w:t>les</w:t>
      </w:r>
      <w:r w:rsidRPr="00344890">
        <w:rPr>
          <w:sz w:val="20"/>
          <w:szCs w:val="20"/>
        </w:rPr>
        <w:t xml:space="preserve"> </w:t>
      </w:r>
      <w:r w:rsidRPr="00344890">
        <w:rPr>
          <w:i/>
          <w:sz w:val="20"/>
          <w:szCs w:val="20"/>
        </w:rPr>
        <w:t>crimes</w:t>
      </w:r>
      <w:r w:rsidRPr="00344890">
        <w:rPr>
          <w:sz w:val="20"/>
          <w:szCs w:val="20"/>
        </w:rPr>
        <w:t xml:space="preserve">’), </w:t>
      </w:r>
      <w:proofErr w:type="spellStart"/>
      <w:r w:rsidRPr="00344890">
        <w:rPr>
          <w:sz w:val="20"/>
          <w:szCs w:val="20"/>
        </w:rPr>
        <w:t>misdemeanours</w:t>
      </w:r>
      <w:proofErr w:type="spellEnd"/>
      <w:r w:rsidRPr="00344890">
        <w:rPr>
          <w:sz w:val="20"/>
          <w:szCs w:val="20"/>
        </w:rPr>
        <w:t xml:space="preserve"> (‘</w:t>
      </w:r>
      <w:r w:rsidRPr="00344890">
        <w:rPr>
          <w:i/>
          <w:sz w:val="20"/>
          <w:szCs w:val="20"/>
        </w:rPr>
        <w:t>les</w:t>
      </w:r>
      <w:r w:rsidRPr="00344890">
        <w:rPr>
          <w:sz w:val="20"/>
          <w:szCs w:val="20"/>
        </w:rPr>
        <w:t xml:space="preserve"> </w:t>
      </w:r>
      <w:proofErr w:type="spellStart"/>
      <w:r w:rsidRPr="00344890">
        <w:rPr>
          <w:i/>
          <w:sz w:val="20"/>
          <w:szCs w:val="20"/>
        </w:rPr>
        <w:t>délits</w:t>
      </w:r>
      <w:proofErr w:type="spellEnd"/>
      <w:r w:rsidRPr="00344890">
        <w:rPr>
          <w:sz w:val="20"/>
          <w:szCs w:val="20"/>
        </w:rPr>
        <w:t>’) and petty offences (‘</w:t>
      </w:r>
      <w:r w:rsidRPr="00344890">
        <w:rPr>
          <w:i/>
          <w:sz w:val="20"/>
          <w:szCs w:val="20"/>
        </w:rPr>
        <w:t>les</w:t>
      </w:r>
      <w:r w:rsidRPr="00344890">
        <w:rPr>
          <w:sz w:val="20"/>
          <w:szCs w:val="20"/>
        </w:rPr>
        <w:t xml:space="preserve"> </w:t>
      </w:r>
      <w:r w:rsidRPr="00344890">
        <w:rPr>
          <w:i/>
          <w:sz w:val="20"/>
          <w:szCs w:val="20"/>
        </w:rPr>
        <w:t>contraventions</w:t>
      </w:r>
      <w:r w:rsidRPr="00344890">
        <w:rPr>
          <w:sz w:val="20"/>
          <w:szCs w:val="20"/>
        </w:rPr>
        <w:t>’). The first category of offences are punishable by a ‘criminal’ penalty (which is a somewhat confusing translation of ‘</w:t>
      </w:r>
      <w:proofErr w:type="spellStart"/>
      <w:r w:rsidRPr="00344890">
        <w:rPr>
          <w:i/>
          <w:sz w:val="20"/>
          <w:szCs w:val="20"/>
        </w:rPr>
        <w:t>peine</w:t>
      </w:r>
      <w:proofErr w:type="spellEnd"/>
      <w:r w:rsidRPr="00344890">
        <w:rPr>
          <w:i/>
          <w:sz w:val="20"/>
          <w:szCs w:val="20"/>
        </w:rPr>
        <w:t xml:space="preserve"> </w:t>
      </w:r>
      <w:proofErr w:type="spellStart"/>
      <w:r w:rsidRPr="00344890">
        <w:rPr>
          <w:i/>
          <w:sz w:val="20"/>
          <w:szCs w:val="20"/>
        </w:rPr>
        <w:t>criminelle</w:t>
      </w:r>
      <w:proofErr w:type="spellEnd"/>
      <w:r w:rsidRPr="00344890">
        <w:rPr>
          <w:sz w:val="20"/>
          <w:szCs w:val="20"/>
        </w:rPr>
        <w:t>’), the second by a ‘correctional’ penalty (‘</w:t>
      </w:r>
      <w:proofErr w:type="spellStart"/>
      <w:r w:rsidRPr="00344890">
        <w:rPr>
          <w:i/>
          <w:sz w:val="20"/>
          <w:szCs w:val="20"/>
        </w:rPr>
        <w:t>peine</w:t>
      </w:r>
      <w:proofErr w:type="spellEnd"/>
      <w:r w:rsidRPr="00344890">
        <w:rPr>
          <w:i/>
          <w:sz w:val="20"/>
          <w:szCs w:val="20"/>
        </w:rPr>
        <w:t xml:space="preserve"> </w:t>
      </w:r>
      <w:proofErr w:type="spellStart"/>
      <w:r w:rsidRPr="00344890">
        <w:rPr>
          <w:i/>
          <w:sz w:val="20"/>
          <w:szCs w:val="20"/>
        </w:rPr>
        <w:t>correctionnelle</w:t>
      </w:r>
      <w:proofErr w:type="spellEnd"/>
      <w:r w:rsidRPr="00344890">
        <w:rPr>
          <w:sz w:val="20"/>
          <w:szCs w:val="20"/>
        </w:rPr>
        <w:t>’) and the third category by a ‘police’ penalty (once more a misleading translation of ‘</w:t>
      </w:r>
      <w:proofErr w:type="spellStart"/>
      <w:r w:rsidRPr="00344890">
        <w:rPr>
          <w:i/>
          <w:sz w:val="20"/>
          <w:szCs w:val="20"/>
        </w:rPr>
        <w:t>peine</w:t>
      </w:r>
      <w:proofErr w:type="spellEnd"/>
      <w:r w:rsidRPr="00344890">
        <w:rPr>
          <w:i/>
          <w:sz w:val="20"/>
          <w:szCs w:val="20"/>
        </w:rPr>
        <w:t xml:space="preserve"> de police</w:t>
      </w:r>
      <w:r w:rsidRPr="00344890">
        <w:rPr>
          <w:sz w:val="20"/>
          <w:szCs w:val="20"/>
        </w:rPr>
        <w:t>’, because this police penalty is still imposed by a court).</w:t>
      </w:r>
    </w:p>
  </w:footnote>
  <w:footnote w:id="38">
    <w:p w14:paraId="711B28A4"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Before the amendment by the Law of 18 July 2014 approving the Budapest Convention, reference was only made to the investigative powers under Article 67-1 of the Code of Criminal Procedure (</w:t>
      </w:r>
      <w:r w:rsidRPr="00344890">
        <w:rPr>
          <w:i/>
          <w:sz w:val="20"/>
          <w:szCs w:val="20"/>
        </w:rPr>
        <w:t>infra</w:t>
      </w:r>
      <w:r w:rsidRPr="00344890">
        <w:rPr>
          <w:sz w:val="20"/>
          <w:szCs w:val="20"/>
        </w:rPr>
        <w:t>).</w:t>
      </w:r>
    </w:p>
  </w:footnote>
  <w:footnote w:id="39">
    <w:p w14:paraId="3086F0AC" w14:textId="7161730F"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Once again, before the amendment by the Law of 18 July 2014, reference was only made to the investigative powers under Article 67-1 of the Code of Criminal Procedure (</w:t>
      </w:r>
      <w:r w:rsidRPr="00344890">
        <w:rPr>
          <w:i/>
          <w:sz w:val="20"/>
          <w:szCs w:val="20"/>
        </w:rPr>
        <w:t>infra</w:t>
      </w:r>
      <w:r w:rsidRPr="00344890">
        <w:rPr>
          <w:sz w:val="20"/>
          <w:szCs w:val="20"/>
        </w:rPr>
        <w:t>, sub question 6).</w:t>
      </w:r>
    </w:p>
  </w:footnote>
  <w:footnote w:id="40">
    <w:p w14:paraId="308C6CFD" w14:textId="02EAD27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i/>
          <w:sz w:val="20"/>
          <w:szCs w:val="20"/>
        </w:rPr>
        <w:t xml:space="preserve"> </w:t>
      </w:r>
      <w:r w:rsidRPr="00344890">
        <w:rPr>
          <w:bCs/>
          <w:sz w:val="20"/>
          <w:szCs w:val="20"/>
        </w:rPr>
        <w:t>A No 73, 7 June 2005.</w:t>
      </w:r>
    </w:p>
  </w:footnote>
  <w:footnote w:id="41">
    <w:p w14:paraId="091344F7" w14:textId="69184BA8"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(k) of the Law of 30 May 2005.</w:t>
      </w:r>
    </w:p>
  </w:footnote>
  <w:footnote w:id="42">
    <w:p w14:paraId="2C92383C" w14:textId="0753F6AB"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(k) of the Law of 30 May 2005.</w:t>
      </w:r>
    </w:p>
  </w:footnote>
  <w:footnote w:id="43">
    <w:p w14:paraId="294B02CD" w14:textId="71B1912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130.</w:t>
      </w:r>
    </w:p>
  </w:footnote>
  <w:footnote w:id="44">
    <w:p w14:paraId="4780F98A" w14:textId="6B5EAF0D" w:rsidR="00871E84" w:rsidRPr="00344890" w:rsidRDefault="00871E84" w:rsidP="00412F35">
      <w:pPr>
        <w:pStyle w:val="Tekstprzypisudolnego"/>
        <w:jc w:val="both"/>
        <w:rPr>
          <w:i/>
          <w:sz w:val="20"/>
          <w:szCs w:val="20"/>
        </w:rPr>
      </w:pPr>
      <w:r w:rsidRPr="00344890">
        <w:rPr>
          <w:rStyle w:val="Odwoanieprzypisudolnego"/>
          <w:sz w:val="20"/>
          <w:szCs w:val="20"/>
        </w:rPr>
        <w:footnoteRef/>
      </w:r>
      <w:r w:rsidRPr="00344890">
        <w:rPr>
          <w:sz w:val="20"/>
          <w:szCs w:val="20"/>
        </w:rPr>
        <w:t xml:space="preserve"> See in particular CJEU, Case C-131/12 </w:t>
      </w:r>
      <w:r w:rsidRPr="00344890">
        <w:rPr>
          <w:i/>
          <w:sz w:val="20"/>
          <w:szCs w:val="20"/>
        </w:rPr>
        <w:t xml:space="preserve">Google Spain SL and Google Inc. v. </w:t>
      </w:r>
      <w:proofErr w:type="spellStart"/>
      <w:r w:rsidRPr="00344890">
        <w:rPr>
          <w:i/>
          <w:sz w:val="20"/>
          <w:szCs w:val="20"/>
        </w:rPr>
        <w:t>Agencia</w:t>
      </w:r>
      <w:proofErr w:type="spellEnd"/>
      <w:r w:rsidRPr="00344890">
        <w:rPr>
          <w:i/>
          <w:sz w:val="20"/>
          <w:szCs w:val="20"/>
        </w:rPr>
        <w:t xml:space="preserve"> Española de </w:t>
      </w:r>
      <w:proofErr w:type="spellStart"/>
      <w:r w:rsidRPr="00344890">
        <w:rPr>
          <w:i/>
          <w:sz w:val="20"/>
          <w:szCs w:val="20"/>
        </w:rPr>
        <w:t>Protecci</w:t>
      </w:r>
      <w:r w:rsidRPr="00344890">
        <w:rPr>
          <w:bCs/>
          <w:i/>
          <w:sz w:val="20"/>
          <w:szCs w:val="20"/>
        </w:rPr>
        <w:t>ón</w:t>
      </w:r>
      <w:proofErr w:type="spellEnd"/>
      <w:r w:rsidRPr="00344890">
        <w:rPr>
          <w:bCs/>
          <w:i/>
          <w:sz w:val="20"/>
          <w:szCs w:val="20"/>
        </w:rPr>
        <w:t xml:space="preserve"> de </w:t>
      </w:r>
      <w:proofErr w:type="spellStart"/>
      <w:r w:rsidRPr="00344890">
        <w:rPr>
          <w:bCs/>
          <w:i/>
          <w:sz w:val="20"/>
          <w:szCs w:val="20"/>
        </w:rPr>
        <w:t>Datos</w:t>
      </w:r>
      <w:proofErr w:type="spellEnd"/>
      <w:r w:rsidRPr="00344890">
        <w:rPr>
          <w:bCs/>
          <w:i/>
          <w:sz w:val="20"/>
          <w:szCs w:val="20"/>
        </w:rPr>
        <w:t xml:space="preserve"> (AEPD) and Mario </w:t>
      </w:r>
      <w:proofErr w:type="spellStart"/>
      <w:r w:rsidRPr="00344890">
        <w:rPr>
          <w:bCs/>
          <w:i/>
          <w:sz w:val="20"/>
          <w:szCs w:val="20"/>
        </w:rPr>
        <w:t>Costeja</w:t>
      </w:r>
      <w:proofErr w:type="spellEnd"/>
      <w:r w:rsidRPr="00344890">
        <w:rPr>
          <w:bCs/>
          <w:i/>
          <w:sz w:val="20"/>
          <w:szCs w:val="20"/>
        </w:rPr>
        <w:t xml:space="preserve"> González</w:t>
      </w:r>
      <w:r w:rsidRPr="00344890">
        <w:rPr>
          <w:bCs/>
          <w:sz w:val="20"/>
          <w:szCs w:val="20"/>
        </w:rPr>
        <w:t>, 13 May 2014. In this case the Court ruled that Google’s search engine is ‘processing data’ because it collects, stores and discloses personal data (para. 28) and that it is playing the role of a ‘controller’ of personal data, even though ‘it does not exercise control over the personal data published on the web pages of third parties’ (para. 34).</w:t>
      </w:r>
      <w:r w:rsidR="001E5ED6">
        <w:rPr>
          <w:bCs/>
          <w:sz w:val="20"/>
          <w:szCs w:val="20"/>
        </w:rPr>
        <w:t xml:space="preserve"> </w:t>
      </w:r>
      <w:r w:rsidRPr="00344890">
        <w:rPr>
          <w:bCs/>
          <w:sz w:val="20"/>
          <w:szCs w:val="20"/>
        </w:rPr>
        <w:t xml:space="preserve">This broad judicial interpretation of the definitions used in Directive 95/46/EC also </w:t>
      </w:r>
      <w:r w:rsidR="001E5ED6">
        <w:rPr>
          <w:bCs/>
          <w:sz w:val="20"/>
          <w:szCs w:val="20"/>
        </w:rPr>
        <w:t>seems to affect</w:t>
      </w:r>
      <w:r w:rsidRPr="00344890">
        <w:rPr>
          <w:bCs/>
          <w:sz w:val="20"/>
          <w:szCs w:val="20"/>
        </w:rPr>
        <w:t xml:space="preserve"> the 2006 Data Retention Directive, as Article 2 (1) of the latter Directive explicitly declares the defini</w:t>
      </w:r>
      <w:r w:rsidR="001E5ED6">
        <w:rPr>
          <w:bCs/>
          <w:sz w:val="20"/>
          <w:szCs w:val="20"/>
        </w:rPr>
        <w:t>tions of the former applicable.</w:t>
      </w:r>
    </w:p>
  </w:footnote>
  <w:footnote w:id="45">
    <w:p w14:paraId="6E6EA45C" w14:textId="6F28950C"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1 of the Regulation of 24 July 2010. See also Article 3 (2) of the same Regulation.</w:t>
      </w:r>
    </w:p>
  </w:footnote>
  <w:footnote w:id="46">
    <w:p w14:paraId="56BEB591" w14:textId="3B2AAC8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3 (2) of the Regulation of 24 July 2010.</w:t>
      </w:r>
    </w:p>
  </w:footnote>
  <w:footnote w:id="47">
    <w:p w14:paraId="2F75F566" w14:textId="569DA168" w:rsidR="00871E84" w:rsidRPr="00344890" w:rsidRDefault="00871E84" w:rsidP="002637DA">
      <w:pPr>
        <w:pStyle w:val="Tekstprzypisudolnego"/>
        <w:jc w:val="both"/>
        <w:rPr>
          <w:i/>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sz w:val="20"/>
          <w:szCs w:val="20"/>
        </w:rPr>
        <w:t xml:space="preserve"> A No 91, 13 August 2002. Coordinated version published in </w:t>
      </w:r>
      <w:proofErr w:type="spellStart"/>
      <w:r w:rsidRPr="00344890">
        <w:rPr>
          <w:bCs/>
          <w:i/>
          <w:sz w:val="20"/>
          <w:szCs w:val="20"/>
        </w:rPr>
        <w:t>Mémorial</w:t>
      </w:r>
      <w:proofErr w:type="spellEnd"/>
      <w:r w:rsidRPr="00344890">
        <w:rPr>
          <w:bCs/>
          <w:sz w:val="20"/>
          <w:szCs w:val="20"/>
        </w:rPr>
        <w:t xml:space="preserve"> A No 131, 8 August 2007.</w:t>
      </w:r>
    </w:p>
  </w:footnote>
  <w:footnote w:id="48">
    <w:p w14:paraId="6064A545" w14:textId="513111D0"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3 (1) of the Law of 2 August 2002.</w:t>
      </w:r>
    </w:p>
  </w:footnote>
  <w:footnote w:id="49">
    <w:p w14:paraId="045FBDB1"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sz w:val="20"/>
          <w:szCs w:val="20"/>
        </w:rPr>
        <w:t xml:space="preserve"> A No 188, 18 December 2008.</w:t>
      </w:r>
    </w:p>
  </w:footnote>
  <w:footnote w:id="50">
    <w:p w14:paraId="67FCF462"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bCs/>
          <w:i/>
          <w:sz w:val="20"/>
          <w:szCs w:val="20"/>
        </w:rPr>
        <w:t>Mémorial</w:t>
      </w:r>
      <w:proofErr w:type="spellEnd"/>
      <w:r w:rsidRPr="00344890">
        <w:rPr>
          <w:bCs/>
          <w:sz w:val="20"/>
          <w:szCs w:val="20"/>
        </w:rPr>
        <w:t xml:space="preserve"> A No 209, 30 December 2004.</w:t>
      </w:r>
    </w:p>
  </w:footnote>
  <w:footnote w:id="51">
    <w:p w14:paraId="755EADF1" w14:textId="2FEE7C69" w:rsidR="00871E84" w:rsidRPr="00344890" w:rsidRDefault="00871E84" w:rsidP="00637A27">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i/>
          <w:sz w:val="20"/>
          <w:szCs w:val="20"/>
        </w:rPr>
        <w:t>Cf.</w:t>
      </w:r>
      <w:r w:rsidRPr="00344890">
        <w:rPr>
          <w:sz w:val="20"/>
          <w:szCs w:val="20"/>
        </w:rPr>
        <w:t xml:space="preserve"> Article 5 (1) of Directive 2002/58/EC </w:t>
      </w:r>
      <w:r w:rsidRPr="00344890">
        <w:rPr>
          <w:rStyle w:val="Pogrubienie"/>
          <w:b w:val="0"/>
          <w:sz w:val="20"/>
          <w:szCs w:val="20"/>
        </w:rPr>
        <w:t xml:space="preserve">of the European Parliament and of the Council of 12 July 2002 concerning the processing of personal data and the protection of privacy in the electronic communications sector (Directive on privacy and electronic communications), </w:t>
      </w:r>
      <w:r w:rsidRPr="00344890">
        <w:rPr>
          <w:rStyle w:val="Pogrubienie"/>
          <w:b w:val="0"/>
          <w:i/>
          <w:sz w:val="20"/>
          <w:szCs w:val="20"/>
        </w:rPr>
        <w:t>OJ</w:t>
      </w:r>
      <w:r w:rsidRPr="00344890">
        <w:rPr>
          <w:rStyle w:val="Pogrubienie"/>
          <w:b w:val="0"/>
          <w:sz w:val="20"/>
          <w:szCs w:val="20"/>
        </w:rPr>
        <w:t xml:space="preserve"> L 201, 31 July 2002, 37.</w:t>
      </w:r>
    </w:p>
  </w:footnote>
  <w:footnote w:id="52">
    <w:p w14:paraId="06340EC1" w14:textId="758E3C58"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Until the amendment by the Law of 18 July 2014 approving the Budapest Convention, reference was only made to the investigative powers under Article 67-1 of the Code of Criminal Procedure (</w:t>
      </w:r>
      <w:r w:rsidRPr="00344890">
        <w:rPr>
          <w:i/>
          <w:sz w:val="20"/>
          <w:szCs w:val="20"/>
        </w:rPr>
        <w:t>infra</w:t>
      </w:r>
      <w:r w:rsidRPr="00344890">
        <w:rPr>
          <w:sz w:val="20"/>
          <w:szCs w:val="20"/>
        </w:rPr>
        <w:t>).</w:t>
      </w:r>
    </w:p>
  </w:footnote>
  <w:footnote w:id="53">
    <w:p w14:paraId="0E84D263" w14:textId="201AA9BC"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54">
    <w:p w14:paraId="7EEBBA6C"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This paragraph was introduced by the Law of 18 July 2014 approving the Budapest Convention.</w:t>
      </w:r>
    </w:p>
  </w:footnote>
  <w:footnote w:id="55">
    <w:p w14:paraId="416124D3" w14:textId="7174AAE0" w:rsidR="00871E84" w:rsidRPr="00344890" w:rsidRDefault="00871E84" w:rsidP="002637DA">
      <w:pPr>
        <w:pStyle w:val="Tekstprzypisudolnego"/>
        <w:jc w:val="both"/>
        <w:rPr>
          <w:sz w:val="20"/>
          <w:szCs w:val="20"/>
          <w:lang w:val="nl-BE"/>
        </w:rPr>
      </w:pPr>
      <w:r w:rsidRPr="00344890">
        <w:rPr>
          <w:rStyle w:val="Odwoanieprzypisudolnego"/>
          <w:sz w:val="20"/>
          <w:szCs w:val="20"/>
        </w:rPr>
        <w:footnoteRef/>
      </w:r>
      <w:r w:rsidRPr="00344890">
        <w:rPr>
          <w:sz w:val="20"/>
          <w:szCs w:val="20"/>
          <w:lang w:val="nl-BE"/>
        </w:rPr>
        <w:t xml:space="preserve"> M. </w:t>
      </w:r>
      <w:r w:rsidRPr="00344890">
        <w:rPr>
          <w:smallCaps/>
          <w:sz w:val="20"/>
          <w:szCs w:val="20"/>
          <w:lang w:val="nl-BE"/>
        </w:rPr>
        <w:t>Braun</w:t>
      </w:r>
      <w:r w:rsidRPr="00344890">
        <w:rPr>
          <w:sz w:val="20"/>
          <w:szCs w:val="20"/>
          <w:lang w:val="nl-BE"/>
        </w:rPr>
        <w:t xml:space="preserve">, </w:t>
      </w:r>
      <w:r w:rsidRPr="00344890">
        <w:rPr>
          <w:i/>
          <w:sz w:val="20"/>
          <w:szCs w:val="20"/>
          <w:lang w:val="nl-BE"/>
        </w:rPr>
        <w:t>op. cit.</w:t>
      </w:r>
      <w:r w:rsidRPr="00344890">
        <w:rPr>
          <w:sz w:val="20"/>
          <w:szCs w:val="20"/>
          <w:lang w:val="nl-BE"/>
        </w:rPr>
        <w:t>, 2014, 127.</w:t>
      </w:r>
    </w:p>
  </w:footnote>
  <w:footnote w:id="56">
    <w:p w14:paraId="345BC123" w14:textId="35DCCE2E"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lang w:val="nl-BE"/>
        </w:rPr>
        <w:t xml:space="preserve"> M. </w:t>
      </w:r>
      <w:r w:rsidRPr="00344890">
        <w:rPr>
          <w:smallCaps/>
          <w:sz w:val="20"/>
          <w:szCs w:val="20"/>
          <w:lang w:val="nl-BE"/>
        </w:rPr>
        <w:t>Braun</w:t>
      </w:r>
      <w:r w:rsidRPr="00344890">
        <w:rPr>
          <w:sz w:val="20"/>
          <w:szCs w:val="20"/>
          <w:lang w:val="nl-BE"/>
        </w:rPr>
        <w:t xml:space="preserve">, </w:t>
      </w:r>
      <w:r w:rsidRPr="00344890">
        <w:rPr>
          <w:i/>
          <w:sz w:val="20"/>
          <w:szCs w:val="20"/>
          <w:lang w:val="nl-BE"/>
        </w:rPr>
        <w:t>op. cit.</w:t>
      </w:r>
      <w:r w:rsidRPr="00344890">
        <w:rPr>
          <w:sz w:val="20"/>
          <w:szCs w:val="20"/>
          <w:lang w:val="nl-BE"/>
        </w:rPr>
        <w:t xml:space="preserve">, 2014, 127. </w:t>
      </w:r>
      <w:r w:rsidRPr="00344890">
        <w:rPr>
          <w:sz w:val="20"/>
          <w:szCs w:val="20"/>
        </w:rPr>
        <w:t xml:space="preserve">However, when acting outside the scope of their legal competences, law enforcement or judicial authorities could be held liable of the offence of Article 509-3 of the Criminal Code. </w:t>
      </w:r>
      <w:r w:rsidRPr="00344890">
        <w:rPr>
          <w:i/>
          <w:sz w:val="20"/>
          <w:szCs w:val="20"/>
        </w:rPr>
        <w:t>Cf.</w:t>
      </w:r>
      <w:r w:rsidRPr="00344890">
        <w:rPr>
          <w:sz w:val="20"/>
          <w:szCs w:val="20"/>
        </w:rPr>
        <w:t xml:space="preserve"> CSJ corr. 27 June 2012, 342/12 X, </w:t>
      </w:r>
      <w:proofErr w:type="spellStart"/>
      <w:r w:rsidRPr="00344890">
        <w:rPr>
          <w:i/>
          <w:sz w:val="20"/>
          <w:szCs w:val="20"/>
        </w:rPr>
        <w:t>Receuil</w:t>
      </w:r>
      <w:proofErr w:type="spellEnd"/>
      <w:r w:rsidRPr="00344890">
        <w:rPr>
          <w:i/>
          <w:sz w:val="20"/>
          <w:szCs w:val="20"/>
        </w:rPr>
        <w:t xml:space="preserve"> de Jurisprudence </w:t>
      </w:r>
      <w:proofErr w:type="spellStart"/>
      <w:r w:rsidRPr="00344890">
        <w:rPr>
          <w:i/>
          <w:sz w:val="20"/>
          <w:szCs w:val="20"/>
        </w:rPr>
        <w:t>pénale</w:t>
      </w:r>
      <w:proofErr w:type="spellEnd"/>
      <w:r w:rsidRPr="00344890">
        <w:rPr>
          <w:sz w:val="20"/>
          <w:szCs w:val="20"/>
        </w:rPr>
        <w:t xml:space="preserve"> 2014, 952, convicting a police officer for consulting other persons’ data kept by the State outside the scope of his official police tasks.</w:t>
      </w:r>
    </w:p>
  </w:footnote>
  <w:footnote w:id="57">
    <w:p w14:paraId="7EFF6E1D" w14:textId="2D05DCF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3 (1), paras 1 and 2 of the Law of 30 May 2005.</w:t>
      </w:r>
    </w:p>
  </w:footnote>
  <w:footnote w:id="58">
    <w:p w14:paraId="1350135C" w14:textId="7C9B1828"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Articles 5 (2) and 9 (2) of the Law of 30 May 2005.</w:t>
      </w:r>
    </w:p>
  </w:footnote>
  <w:footnote w:id="59">
    <w:p w14:paraId="6C97FF7D" w14:textId="2076D24F"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(d) of this Directive defines the controller as ‘the natural or legal person, public authority, agency or any other body which alone or jointly with others determines the purposes and means of the processing of personal data; where the purposes and means of processing are determined by national or Community laws or regulations, the controller or the specific criteria for his nomination may be designated by national or Community law.’ This notion is interpreted broadly by the Luxembourgish courts. See e.g. CSJ corr. </w:t>
      </w:r>
      <w:r w:rsidRPr="00344890">
        <w:rPr>
          <w:sz w:val="20"/>
          <w:szCs w:val="20"/>
          <w:lang w:val="fr-FR"/>
        </w:rPr>
        <w:t xml:space="preserve">27 June 2012, 342/12 X, </w:t>
      </w:r>
      <w:r w:rsidRPr="00344890">
        <w:rPr>
          <w:i/>
          <w:sz w:val="20"/>
          <w:szCs w:val="20"/>
          <w:lang w:val="fr-FR"/>
        </w:rPr>
        <w:t>Receuil de Jurisprudence pénale</w:t>
      </w:r>
      <w:r w:rsidRPr="00344890">
        <w:rPr>
          <w:sz w:val="20"/>
          <w:szCs w:val="20"/>
          <w:lang w:val="fr-FR"/>
        </w:rPr>
        <w:t xml:space="preserve"> 2014, 952 (‘Le responsable du traitement de données à caractère personnel est, sauf désignation expresse par les dispositions législatives ou réglementaire relatives à ce traitement, la personne, l’autorité publique, le service ou l’organisme qui détermine les finalités du traitement et les moyens pour y parvenir. Il s’agit de celui qui prend l’initiative et qui dispose du pouvoir décisionnel en relation avec le traitement. (…) la loi de 2002 a vocation à s’appliquer en l’espèce aux agissements du prévenu puisqu’elle a un champ d’application très  large, qu’elle concerne toutes les personnes physiques, les personnes morales et l’Etat qui effectuent un traitement de données à caractère personnel’). </w:t>
      </w:r>
      <w:r w:rsidR="001E5ED6" w:rsidRPr="001E5ED6">
        <w:rPr>
          <w:sz w:val="20"/>
          <w:szCs w:val="20"/>
        </w:rPr>
        <w:t>See</w:t>
      </w:r>
      <w:r w:rsidRPr="00344890">
        <w:rPr>
          <w:sz w:val="20"/>
          <w:szCs w:val="20"/>
        </w:rPr>
        <w:t xml:space="preserve"> also </w:t>
      </w:r>
      <w:r w:rsidRPr="00344890">
        <w:rPr>
          <w:i/>
          <w:sz w:val="20"/>
          <w:szCs w:val="20"/>
        </w:rPr>
        <w:t>supra</w:t>
      </w:r>
      <w:r w:rsidRPr="00344890">
        <w:rPr>
          <w:sz w:val="20"/>
          <w:szCs w:val="20"/>
        </w:rPr>
        <w:t xml:space="preserve">, CJEU, Case C-131/12 </w:t>
      </w:r>
      <w:r w:rsidRPr="00344890">
        <w:rPr>
          <w:i/>
          <w:sz w:val="20"/>
          <w:szCs w:val="20"/>
        </w:rPr>
        <w:t xml:space="preserve">Google Spain SL and Google Inc. v. </w:t>
      </w:r>
      <w:proofErr w:type="spellStart"/>
      <w:r w:rsidRPr="00344890">
        <w:rPr>
          <w:i/>
          <w:sz w:val="20"/>
          <w:szCs w:val="20"/>
        </w:rPr>
        <w:t>Agencia</w:t>
      </w:r>
      <w:proofErr w:type="spellEnd"/>
      <w:r w:rsidRPr="00344890">
        <w:rPr>
          <w:i/>
          <w:sz w:val="20"/>
          <w:szCs w:val="20"/>
        </w:rPr>
        <w:t xml:space="preserve"> Española de </w:t>
      </w:r>
      <w:proofErr w:type="spellStart"/>
      <w:r w:rsidRPr="00344890">
        <w:rPr>
          <w:i/>
          <w:sz w:val="20"/>
          <w:szCs w:val="20"/>
        </w:rPr>
        <w:t>Protecci</w:t>
      </w:r>
      <w:r w:rsidRPr="00344890">
        <w:rPr>
          <w:bCs/>
          <w:i/>
          <w:sz w:val="20"/>
          <w:szCs w:val="20"/>
        </w:rPr>
        <w:t>ón</w:t>
      </w:r>
      <w:proofErr w:type="spellEnd"/>
      <w:r w:rsidRPr="00344890">
        <w:rPr>
          <w:bCs/>
          <w:i/>
          <w:sz w:val="20"/>
          <w:szCs w:val="20"/>
        </w:rPr>
        <w:t xml:space="preserve"> de </w:t>
      </w:r>
      <w:proofErr w:type="spellStart"/>
      <w:r w:rsidRPr="00344890">
        <w:rPr>
          <w:bCs/>
          <w:i/>
          <w:sz w:val="20"/>
          <w:szCs w:val="20"/>
        </w:rPr>
        <w:t>Datos</w:t>
      </w:r>
      <w:proofErr w:type="spellEnd"/>
      <w:r w:rsidRPr="00344890">
        <w:rPr>
          <w:bCs/>
          <w:i/>
          <w:sz w:val="20"/>
          <w:szCs w:val="20"/>
        </w:rPr>
        <w:t xml:space="preserve"> (AEPD) and Mario </w:t>
      </w:r>
      <w:proofErr w:type="spellStart"/>
      <w:r w:rsidRPr="00344890">
        <w:rPr>
          <w:bCs/>
          <w:i/>
          <w:sz w:val="20"/>
          <w:szCs w:val="20"/>
        </w:rPr>
        <w:t>Costeja</w:t>
      </w:r>
      <w:proofErr w:type="spellEnd"/>
      <w:r w:rsidRPr="00344890">
        <w:rPr>
          <w:bCs/>
          <w:i/>
          <w:sz w:val="20"/>
          <w:szCs w:val="20"/>
        </w:rPr>
        <w:t xml:space="preserve"> González</w:t>
      </w:r>
      <w:r w:rsidRPr="00344890">
        <w:rPr>
          <w:bCs/>
          <w:sz w:val="20"/>
          <w:szCs w:val="20"/>
        </w:rPr>
        <w:t>, 13 May 2014</w:t>
      </w:r>
      <w:r w:rsidR="001E5ED6">
        <w:rPr>
          <w:bCs/>
          <w:sz w:val="20"/>
          <w:szCs w:val="20"/>
        </w:rPr>
        <w:t>.</w:t>
      </w:r>
    </w:p>
  </w:footnote>
  <w:footnote w:id="60">
    <w:p w14:paraId="755DB87D" w14:textId="068CDE8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5 (1) (a) of the Law of 2 August 2002.</w:t>
      </w:r>
    </w:p>
  </w:footnote>
  <w:footnote w:id="61">
    <w:p w14:paraId="02AB7532" w14:textId="4C317AA9"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8 (1) of the Law of 2 August 2002.</w:t>
      </w:r>
    </w:p>
  </w:footnote>
  <w:footnote w:id="62">
    <w:p w14:paraId="0E342353" w14:textId="0F01F22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rStyle w:val="Odwoanieprzypisudolnego"/>
          <w:sz w:val="20"/>
          <w:szCs w:val="20"/>
        </w:rPr>
        <w:footnoteRef/>
      </w:r>
      <w:r w:rsidRPr="00344890">
        <w:rPr>
          <w:sz w:val="20"/>
          <w:szCs w:val="20"/>
        </w:rPr>
        <w:t xml:space="preserve"> Articles 5 (2) and 8 (4) of the Law of 2 August 2002.</w:t>
      </w:r>
    </w:p>
  </w:footnote>
  <w:footnote w:id="63">
    <w:p w14:paraId="341AC034" w14:textId="7E91A5F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(1) of the Regulation of 21 December 2004.</w:t>
      </w:r>
    </w:p>
  </w:footnote>
  <w:footnote w:id="64">
    <w:p w14:paraId="5261BD8C" w14:textId="026C5F9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41 of the Law of 2 August 2002.</w:t>
      </w:r>
    </w:p>
  </w:footnote>
  <w:footnote w:id="65">
    <w:p w14:paraId="5CF062C5" w14:textId="7586DFB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4 (3) of the Regulation of 21 December 2004.</w:t>
      </w:r>
    </w:p>
  </w:footnote>
  <w:footnote w:id="66">
    <w:p w14:paraId="7DEB7B52" w14:textId="25509FC3"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67">
    <w:p w14:paraId="287280EA" w14:textId="5BAF5B1B"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68">
    <w:p w14:paraId="22743C51" w14:textId="5492EB6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69">
    <w:p w14:paraId="1AC9D0C5" w14:textId="6322088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As indicated before, the Law of 27 February 2011 repealed the Law of 30 May 2005 </w:t>
      </w:r>
      <w:r w:rsidRPr="00344890">
        <w:rPr>
          <w:bCs/>
          <w:sz w:val="20"/>
          <w:szCs w:val="20"/>
        </w:rPr>
        <w:t>on electronic communications networks and services, which was the first law moving away from the old term ‘telecommunications’.</w:t>
      </w:r>
    </w:p>
  </w:footnote>
  <w:footnote w:id="70">
    <w:p w14:paraId="0D966D9A" w14:textId="566EA263"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proofErr w:type="spellStart"/>
      <w:r w:rsidRPr="00344890">
        <w:rPr>
          <w:i/>
          <w:sz w:val="20"/>
          <w:szCs w:val="20"/>
        </w:rPr>
        <w:t>Mémorial</w:t>
      </w:r>
      <w:proofErr w:type="spellEnd"/>
      <w:r w:rsidRPr="00344890">
        <w:rPr>
          <w:sz w:val="20"/>
          <w:szCs w:val="20"/>
        </w:rPr>
        <w:t xml:space="preserve"> A No 18, 27 March 1997.</w:t>
      </w:r>
    </w:p>
  </w:footnote>
  <w:footnote w:id="71">
    <w:p w14:paraId="56A3122D" w14:textId="08D6A5C9"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2 (26) of the Law of 21 March 1997.</w:t>
      </w:r>
    </w:p>
  </w:footnote>
  <w:footnote w:id="72">
    <w:p w14:paraId="2577B6CE" w14:textId="63AE43E2"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F. </w:t>
      </w:r>
      <w:proofErr w:type="spellStart"/>
      <w:r w:rsidRPr="00344890">
        <w:rPr>
          <w:smallCaps/>
          <w:sz w:val="20"/>
          <w:szCs w:val="20"/>
        </w:rPr>
        <w:t>Fayot</w:t>
      </w:r>
      <w:proofErr w:type="spellEnd"/>
      <w:r w:rsidRPr="00344890">
        <w:rPr>
          <w:sz w:val="20"/>
          <w:szCs w:val="20"/>
        </w:rPr>
        <w:t xml:space="preserve"> and L. </w:t>
      </w:r>
      <w:proofErr w:type="spellStart"/>
      <w:r w:rsidRPr="00344890">
        <w:rPr>
          <w:smallCaps/>
          <w:sz w:val="20"/>
          <w:szCs w:val="20"/>
        </w:rPr>
        <w:t>Funck</w:t>
      </w:r>
      <w:proofErr w:type="spellEnd"/>
      <w:r w:rsidRPr="00344890">
        <w:rPr>
          <w:sz w:val="20"/>
          <w:szCs w:val="20"/>
        </w:rPr>
        <w:t xml:space="preserve">, “Chapter 20: Luxembourg”, </w:t>
      </w:r>
      <w:r w:rsidRPr="00344890">
        <w:rPr>
          <w:i/>
          <w:sz w:val="20"/>
          <w:szCs w:val="20"/>
        </w:rPr>
        <w:t>Technology, Media and Telecommunications Review</w:t>
      </w:r>
      <w:r w:rsidRPr="00344890">
        <w:rPr>
          <w:sz w:val="20"/>
          <w:szCs w:val="20"/>
        </w:rPr>
        <w:t xml:space="preserve"> 2011, (252) 258.</w:t>
      </w:r>
    </w:p>
  </w:footnote>
  <w:footnote w:id="73">
    <w:p w14:paraId="64E9358C" w14:textId="092BCB9C"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F. </w:t>
      </w:r>
      <w:proofErr w:type="spellStart"/>
      <w:r w:rsidRPr="00344890">
        <w:rPr>
          <w:smallCaps/>
          <w:sz w:val="20"/>
          <w:szCs w:val="20"/>
        </w:rPr>
        <w:t>Fayot</w:t>
      </w:r>
      <w:proofErr w:type="spellEnd"/>
      <w:r w:rsidRPr="00344890">
        <w:rPr>
          <w:sz w:val="20"/>
          <w:szCs w:val="20"/>
        </w:rPr>
        <w:t xml:space="preserve"> and L. </w:t>
      </w:r>
      <w:proofErr w:type="spellStart"/>
      <w:r w:rsidRPr="00344890">
        <w:rPr>
          <w:smallCaps/>
          <w:sz w:val="20"/>
          <w:szCs w:val="20"/>
        </w:rPr>
        <w:t>Funck</w:t>
      </w:r>
      <w:proofErr w:type="spellEnd"/>
      <w:r w:rsidRPr="00344890">
        <w:rPr>
          <w:sz w:val="20"/>
          <w:szCs w:val="20"/>
        </w:rPr>
        <w:t xml:space="preserve">, “Chapter 20: Luxembourg”, </w:t>
      </w:r>
      <w:r w:rsidRPr="00344890">
        <w:rPr>
          <w:i/>
          <w:sz w:val="20"/>
          <w:szCs w:val="20"/>
        </w:rPr>
        <w:t>Technology, Media and Telecommunications Review</w:t>
      </w:r>
      <w:r w:rsidRPr="00344890">
        <w:rPr>
          <w:sz w:val="20"/>
          <w:szCs w:val="20"/>
        </w:rPr>
        <w:t xml:space="preserve"> 2011, (252) 253-254 and 258.</w:t>
      </w:r>
    </w:p>
  </w:footnote>
  <w:footnote w:id="74">
    <w:p w14:paraId="2E6A976D" w14:textId="574C06B9"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These offences are defined as crimes (‘</w:t>
      </w:r>
      <w:r w:rsidRPr="00344890">
        <w:rPr>
          <w:i/>
          <w:sz w:val="20"/>
          <w:szCs w:val="20"/>
        </w:rPr>
        <w:t>crimes</w:t>
      </w:r>
      <w:r w:rsidRPr="00344890">
        <w:rPr>
          <w:sz w:val="20"/>
          <w:szCs w:val="20"/>
        </w:rPr>
        <w:t>’) by the Criminal Code.</w:t>
      </w:r>
    </w:p>
  </w:footnote>
  <w:footnote w:id="75">
    <w:p w14:paraId="0FB50FAD" w14:textId="1786B21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76">
    <w:p w14:paraId="63678923" w14:textId="4F17A58C" w:rsidR="00871E84" w:rsidRPr="00344890" w:rsidRDefault="00871E84">
      <w:pPr>
        <w:pStyle w:val="Tekstprzypisudolnego"/>
        <w:rPr>
          <w:sz w:val="20"/>
          <w:szCs w:val="20"/>
        </w:rPr>
      </w:pPr>
      <w:r w:rsidRPr="00344890">
        <w:rPr>
          <w:rStyle w:val="Odwoanieprzypisudolnego"/>
          <w:sz w:val="20"/>
          <w:szCs w:val="20"/>
        </w:rPr>
        <w:footnoteRef/>
      </w:r>
      <w:r w:rsidRPr="00344890">
        <w:rPr>
          <w:sz w:val="20"/>
          <w:szCs w:val="20"/>
        </w:rPr>
        <w:t xml:space="preserve"> </w:t>
      </w:r>
      <w:r w:rsidRPr="00344890">
        <w:rPr>
          <w:i/>
          <w:sz w:val="20"/>
          <w:szCs w:val="20"/>
        </w:rPr>
        <w:t>Cf.</w:t>
      </w:r>
      <w:r w:rsidRPr="00344890">
        <w:rPr>
          <w:sz w:val="20"/>
          <w:szCs w:val="20"/>
        </w:rPr>
        <w:t xml:space="preserve"> Articles 16 and 17 of the Budapest Convention.</w:t>
      </w:r>
    </w:p>
  </w:footnote>
  <w:footnote w:id="77">
    <w:p w14:paraId="3F0D37F4"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130-131.</w:t>
      </w:r>
    </w:p>
  </w:footnote>
  <w:footnote w:id="78">
    <w:p w14:paraId="1DBB085C" w14:textId="0B80E02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79">
    <w:p w14:paraId="7ACBBAD4" w14:textId="389AEA5D"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80">
    <w:p w14:paraId="7928561E"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131-132.</w:t>
      </w:r>
    </w:p>
  </w:footnote>
  <w:footnote w:id="81">
    <w:p w14:paraId="1B7CABDF"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131.</w:t>
      </w:r>
    </w:p>
  </w:footnote>
  <w:footnote w:id="82">
    <w:p w14:paraId="66BE7A2C" w14:textId="08C55B0C"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Italics added.</w:t>
      </w:r>
    </w:p>
  </w:footnote>
  <w:footnote w:id="83">
    <w:p w14:paraId="64F1A0E5" w14:textId="25D2FF11"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As indicated before, this Law was repealed by the Law of 27 February 2011, but the obligation of free cooperation was reincorporated in the 2011 Law.</w:t>
      </w:r>
    </w:p>
  </w:footnote>
  <w:footnote w:id="84">
    <w:p w14:paraId="7C5EFAB4" w14:textId="7AFBF40E"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Avis de la Chambre de Commerce concernant le Projet de loi sur les réseaux et les services de communications électroniques, </w:t>
      </w:r>
      <w:r w:rsidRPr="00344890">
        <w:rPr>
          <w:i/>
          <w:sz w:val="20"/>
          <w:szCs w:val="20"/>
          <w:lang w:val="fr-FR"/>
        </w:rPr>
        <w:t>Chambre des Députés</w:t>
      </w:r>
      <w:r w:rsidRPr="00344890">
        <w:rPr>
          <w:sz w:val="20"/>
          <w:szCs w:val="20"/>
          <w:lang w:val="fr-FR"/>
        </w:rPr>
        <w:t xml:space="preserve">, Session 2003-04, No 5185/04, p. 7, </w:t>
      </w:r>
      <w:r w:rsidRPr="00344890">
        <w:rPr>
          <w:sz w:val="20"/>
          <w:szCs w:val="20"/>
          <w:lang w:val="fr-FR"/>
        </w:rPr>
        <w:t xml:space="preserve">available at : </w:t>
      </w:r>
      <w:r w:rsidR="00E05493">
        <w:fldChar w:fldCharType="begin"/>
      </w:r>
      <w:r w:rsidR="00E05493">
        <w:instrText xml:space="preserve"> HYPERLINK "http://www.chd.lu/wps/portal/public/RoleEtendu?action=doDocpaDetails&amp;id=5181" </w:instrText>
      </w:r>
      <w:r w:rsidR="00E05493">
        <w:fldChar w:fldCharType="separate"/>
      </w:r>
      <w:r w:rsidRPr="00344890">
        <w:rPr>
          <w:rStyle w:val="Hipercze"/>
          <w:sz w:val="20"/>
          <w:szCs w:val="20"/>
          <w:lang w:val="fr-FR"/>
        </w:rPr>
        <w:t>http://www.chd.lu/wps/portal/public/RoleEtendu?action=doDocpaDetails&amp;id=5181#</w:t>
      </w:r>
      <w:r w:rsidR="00E05493">
        <w:rPr>
          <w:rStyle w:val="Hipercze"/>
          <w:sz w:val="20"/>
          <w:szCs w:val="20"/>
          <w:lang w:val="fr-FR"/>
        </w:rPr>
        <w:fldChar w:fldCharType="end"/>
      </w:r>
      <w:r w:rsidRPr="00344890">
        <w:rPr>
          <w:sz w:val="20"/>
          <w:szCs w:val="20"/>
          <w:lang w:val="fr-FR"/>
        </w:rPr>
        <w:t xml:space="preserve"> .</w:t>
      </w:r>
    </w:p>
  </w:footnote>
  <w:footnote w:id="85">
    <w:p w14:paraId="57B6332A"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Law of 21 February 2013, </w:t>
      </w:r>
      <w:proofErr w:type="spellStart"/>
      <w:r w:rsidRPr="00344890">
        <w:rPr>
          <w:i/>
          <w:sz w:val="20"/>
          <w:szCs w:val="20"/>
        </w:rPr>
        <w:t>Mémorial</w:t>
      </w:r>
      <w:proofErr w:type="spellEnd"/>
      <w:r w:rsidRPr="00344890">
        <w:rPr>
          <w:sz w:val="20"/>
          <w:szCs w:val="20"/>
        </w:rPr>
        <w:t xml:space="preserve"> A No 35, 1 March 2013.</w:t>
      </w:r>
    </w:p>
  </w:footnote>
  <w:footnote w:id="86">
    <w:p w14:paraId="427757AA" w14:textId="4FA5A0E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i/>
          <w:sz w:val="20"/>
          <w:szCs w:val="20"/>
        </w:rPr>
        <w:t>OJ</w:t>
      </w:r>
      <w:r w:rsidRPr="00344890">
        <w:rPr>
          <w:sz w:val="20"/>
          <w:szCs w:val="20"/>
        </w:rPr>
        <w:t xml:space="preserve"> L 335, 17 December 2011, 1 (hereinafter : the 2013 Child Abuse Directive).</w:t>
      </w:r>
    </w:p>
  </w:footnote>
  <w:footnote w:id="87">
    <w:p w14:paraId="2517A2FF" w14:textId="2D7EE64D"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Projet de loi relative à la lutte contre les abus sexuels et l’exploitation sexuelle des enfants et portant modification de plusieurs dispositions du Code pénal, </w:t>
      </w:r>
      <w:r w:rsidRPr="00344890">
        <w:rPr>
          <w:i/>
          <w:sz w:val="20"/>
          <w:szCs w:val="20"/>
          <w:lang w:val="fr-FR"/>
        </w:rPr>
        <w:t>Chambre des Députés</w:t>
      </w:r>
      <w:r w:rsidRPr="00344890">
        <w:rPr>
          <w:sz w:val="20"/>
          <w:szCs w:val="20"/>
          <w:lang w:val="fr-FR"/>
        </w:rPr>
        <w:t xml:space="preserve">, Session 2011-12, No 6408/00, p. 5, </w:t>
      </w:r>
      <w:r w:rsidRPr="00344890">
        <w:rPr>
          <w:sz w:val="20"/>
          <w:szCs w:val="20"/>
          <w:lang w:val="fr-FR"/>
        </w:rPr>
        <w:t xml:space="preserve">available at : </w:t>
      </w:r>
      <w:r w:rsidR="00E05493">
        <w:fldChar w:fldCharType="begin"/>
      </w:r>
      <w:r w:rsidR="00E05493">
        <w:instrText xml:space="preserve"> HYPERLINK "http://www.chd.lu/wps/portal/public/RoleEtendu?action=doDocpaDetails&amp;id=6408" </w:instrText>
      </w:r>
      <w:r w:rsidR="00E05493">
        <w:fldChar w:fldCharType="separate"/>
      </w:r>
      <w:r w:rsidRPr="00344890">
        <w:rPr>
          <w:rStyle w:val="Hipercze"/>
          <w:sz w:val="20"/>
          <w:szCs w:val="20"/>
          <w:lang w:val="fr-FR"/>
        </w:rPr>
        <w:t>http://www.chd.lu/wps/portal/public/RoleEtendu?action=doDocpaDetails&amp;id=6408#</w:t>
      </w:r>
      <w:r w:rsidR="00E05493">
        <w:rPr>
          <w:rStyle w:val="Hipercze"/>
          <w:sz w:val="20"/>
          <w:szCs w:val="20"/>
          <w:lang w:val="fr-FR"/>
        </w:rPr>
        <w:fldChar w:fldCharType="end"/>
      </w:r>
      <w:r w:rsidRPr="00344890">
        <w:rPr>
          <w:sz w:val="20"/>
          <w:szCs w:val="20"/>
          <w:lang w:val="fr-FR"/>
        </w:rPr>
        <w:t xml:space="preserve"> .</w:t>
      </w:r>
    </w:p>
  </w:footnote>
  <w:footnote w:id="88">
    <w:p w14:paraId="566B8E70" w14:textId="6BF8D060"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In fact, the parliamentary documents also refer to Article 18 of the Budapest Convention, relating to the production order. </w:t>
      </w:r>
      <w:r w:rsidRPr="00344890">
        <w:rPr>
          <w:sz w:val="20"/>
          <w:szCs w:val="20"/>
          <w:lang w:val="fr-FR"/>
        </w:rPr>
        <w:t xml:space="preserve">See Projet de loi portant, i.a., approbation de la Convention du Conseil de l’Europe sur la cybercriminalité ouverte à la signature à Budapest le 23 novembre 2001, </w:t>
      </w:r>
      <w:r w:rsidRPr="00344890">
        <w:rPr>
          <w:i/>
          <w:sz w:val="20"/>
          <w:szCs w:val="20"/>
          <w:lang w:val="fr-FR"/>
        </w:rPr>
        <w:t>Chambre des Députés</w:t>
      </w:r>
      <w:r w:rsidRPr="00344890">
        <w:rPr>
          <w:sz w:val="20"/>
          <w:szCs w:val="20"/>
          <w:lang w:val="fr-FR"/>
        </w:rPr>
        <w:t xml:space="preserve">, Session 2012-13, No 6514/00, p. 13, </w:t>
      </w:r>
      <w:r w:rsidRPr="00344890">
        <w:rPr>
          <w:sz w:val="20"/>
          <w:szCs w:val="20"/>
          <w:lang w:val="fr-FR"/>
        </w:rPr>
        <w:t xml:space="preserve">available at : </w:t>
      </w:r>
      <w:r w:rsidR="00E05493">
        <w:fldChar w:fldCharType="begin"/>
      </w:r>
      <w:r w:rsidR="00E05493">
        <w:instrText xml:space="preserve"> HYPERLINK "http://www.chd.lu/wps/portal/public/RoleEtendu?action=doDocpaDetails&amp;id=6514" </w:instrText>
      </w:r>
      <w:r w:rsidR="00E05493">
        <w:fldChar w:fldCharType="separate"/>
      </w:r>
      <w:r w:rsidRPr="00344890">
        <w:rPr>
          <w:rStyle w:val="Hipercze"/>
          <w:sz w:val="20"/>
          <w:szCs w:val="20"/>
          <w:lang w:val="fr-FR"/>
        </w:rPr>
        <w:t>http://www.chd.lu/wps/portal/public/RoleEtendu?action=doDocpaDetails&amp;id=6514</w:t>
      </w:r>
      <w:r w:rsidR="00E05493">
        <w:rPr>
          <w:rStyle w:val="Hipercze"/>
          <w:sz w:val="20"/>
          <w:szCs w:val="20"/>
          <w:lang w:val="fr-FR"/>
        </w:rPr>
        <w:fldChar w:fldCharType="end"/>
      </w:r>
      <w:r w:rsidRPr="00344890">
        <w:rPr>
          <w:sz w:val="20"/>
          <w:szCs w:val="20"/>
          <w:lang w:val="fr-FR"/>
        </w:rPr>
        <w:t xml:space="preserve"> . </w:t>
      </w:r>
      <w:r w:rsidRPr="00344890">
        <w:rPr>
          <w:sz w:val="20"/>
          <w:szCs w:val="20"/>
        </w:rPr>
        <w:t>However, apart from the possibility to require the technical assistance of an expert in Article 66 (4) (</w:t>
      </w:r>
      <w:r w:rsidRPr="00344890">
        <w:rPr>
          <w:i/>
          <w:sz w:val="20"/>
          <w:szCs w:val="20"/>
        </w:rPr>
        <w:t>supra</w:t>
      </w:r>
      <w:r w:rsidRPr="00344890">
        <w:rPr>
          <w:sz w:val="20"/>
          <w:szCs w:val="20"/>
        </w:rPr>
        <w:t>, sub question 6), Article 66 does not really implement the foregoing Convention provision. Instead, the relevant elements regarding the production order are spread over various other legal provisions (</w:t>
      </w:r>
      <w:r w:rsidRPr="00344890">
        <w:rPr>
          <w:i/>
          <w:sz w:val="20"/>
          <w:szCs w:val="20"/>
        </w:rPr>
        <w:t>supra</w:t>
      </w:r>
      <w:r w:rsidRPr="00344890">
        <w:rPr>
          <w:sz w:val="20"/>
          <w:szCs w:val="20"/>
        </w:rPr>
        <w:t>, sub question 6).</w:t>
      </w:r>
    </w:p>
  </w:footnote>
  <w:footnote w:id="89">
    <w:p w14:paraId="1355677D" w14:textId="45F8C36A"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132, with reference to case law of the Luxembourg Court of Appeal, in particular C.A. 9 July 2013, No 375/13, C.A. 16 November 2012, No 752/12 and C.A. 21 December 2011, No 931/11.</w:t>
      </w:r>
    </w:p>
  </w:footnote>
  <w:footnote w:id="90">
    <w:p w14:paraId="7DB75143" w14:textId="1FD0704E"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M. </w:t>
      </w:r>
      <w:r w:rsidRPr="00344890">
        <w:rPr>
          <w:smallCaps/>
          <w:sz w:val="20"/>
          <w:szCs w:val="20"/>
        </w:rPr>
        <w:t>Braun</w:t>
      </w:r>
      <w:r w:rsidRPr="00344890">
        <w:rPr>
          <w:sz w:val="20"/>
          <w:szCs w:val="20"/>
        </w:rPr>
        <w:t xml:space="preserve">, </w:t>
      </w:r>
      <w:r w:rsidRPr="00344890">
        <w:rPr>
          <w:i/>
          <w:sz w:val="20"/>
          <w:szCs w:val="20"/>
        </w:rPr>
        <w:t>op. cit.</w:t>
      </w:r>
      <w:r w:rsidRPr="00344890">
        <w:rPr>
          <w:sz w:val="20"/>
          <w:szCs w:val="20"/>
        </w:rPr>
        <w:t>, 2014, 132.</w:t>
      </w:r>
    </w:p>
  </w:footnote>
  <w:footnote w:id="91">
    <w:p w14:paraId="03480BAE" w14:textId="3FCE9FEB" w:rsidR="00871E84" w:rsidRPr="00344890" w:rsidRDefault="00871E84" w:rsidP="009E1FC3">
      <w:pPr>
        <w:pStyle w:val="Tekstprzypisudolnego"/>
        <w:jc w:val="both"/>
        <w:rPr>
          <w:sz w:val="20"/>
          <w:szCs w:val="20"/>
        </w:rPr>
      </w:pPr>
      <w:r w:rsidRPr="00344890">
        <w:rPr>
          <w:rStyle w:val="Odwoanieprzypisudolnego"/>
          <w:sz w:val="20"/>
          <w:szCs w:val="20"/>
        </w:rPr>
        <w:footnoteRef/>
      </w:r>
      <w:r w:rsidRPr="00344890">
        <w:rPr>
          <w:sz w:val="20"/>
          <w:szCs w:val="20"/>
        </w:rPr>
        <w:t xml:space="preserve"> Some authors argue that service providers should be cautious and make sure to report to the authorities all activities which </w:t>
      </w:r>
      <w:r w:rsidRPr="00344890">
        <w:rPr>
          <w:i/>
          <w:sz w:val="20"/>
          <w:szCs w:val="20"/>
        </w:rPr>
        <w:t>appear</w:t>
      </w:r>
      <w:r w:rsidRPr="00344890">
        <w:rPr>
          <w:sz w:val="20"/>
          <w:szCs w:val="20"/>
        </w:rPr>
        <w:t xml:space="preserve"> to be illicit, in order to avoid later discussions about whether or not they had ‘actual knowledge’. </w:t>
      </w:r>
      <w:r w:rsidRPr="00344890">
        <w:rPr>
          <w:sz w:val="20"/>
          <w:szCs w:val="20"/>
          <w:shd w:val="clear" w:color="auto" w:fill="FFFFFF"/>
        </w:rPr>
        <w:t xml:space="preserve">T. </w:t>
      </w:r>
      <w:proofErr w:type="spellStart"/>
      <w:r w:rsidRPr="00344890">
        <w:rPr>
          <w:smallCaps/>
          <w:sz w:val="20"/>
          <w:szCs w:val="20"/>
          <w:shd w:val="clear" w:color="auto" w:fill="FFFFFF"/>
        </w:rPr>
        <w:t>Reisch</w:t>
      </w:r>
      <w:proofErr w:type="spellEnd"/>
      <w:r w:rsidRPr="00344890">
        <w:rPr>
          <w:sz w:val="20"/>
          <w:szCs w:val="20"/>
          <w:shd w:val="clear" w:color="auto" w:fill="FFFFFF"/>
        </w:rPr>
        <w:t xml:space="preserve">, </w:t>
      </w:r>
      <w:r w:rsidRPr="00344890">
        <w:rPr>
          <w:i/>
          <w:sz w:val="20"/>
          <w:szCs w:val="20"/>
        </w:rPr>
        <w:t>op. cit.</w:t>
      </w:r>
      <w:r w:rsidRPr="00344890">
        <w:rPr>
          <w:sz w:val="20"/>
          <w:szCs w:val="20"/>
        </w:rPr>
        <w:t>, 2008, 74.</w:t>
      </w:r>
    </w:p>
  </w:footnote>
  <w:footnote w:id="92">
    <w:p w14:paraId="785E673F" w14:textId="6E8AEED4"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rPr>
        <w:t xml:space="preserve"> See in particular Articles 61 e) (concerning ISPs engaged in ‘caching’) and Article 62 (1) b) (concerning hosting ISPs) of the Law of 14 August 2000 on electronic commerce (</w:t>
      </w:r>
      <w:r w:rsidRPr="00344890">
        <w:rPr>
          <w:i/>
          <w:sz w:val="20"/>
          <w:szCs w:val="20"/>
        </w:rPr>
        <w:t>cf.</w:t>
      </w:r>
      <w:r w:rsidRPr="00344890">
        <w:rPr>
          <w:sz w:val="20"/>
          <w:szCs w:val="20"/>
        </w:rPr>
        <w:t xml:space="preserve"> </w:t>
      </w:r>
      <w:r w:rsidRPr="00344890">
        <w:rPr>
          <w:i/>
          <w:sz w:val="20"/>
          <w:szCs w:val="20"/>
        </w:rPr>
        <w:t>supra</w:t>
      </w:r>
      <w:r w:rsidRPr="00344890">
        <w:rPr>
          <w:sz w:val="20"/>
          <w:szCs w:val="20"/>
        </w:rPr>
        <w:t xml:space="preserve">, sub question 1). </w:t>
      </w:r>
      <w:r w:rsidRPr="00344890">
        <w:rPr>
          <w:sz w:val="20"/>
          <w:szCs w:val="20"/>
          <w:lang w:val="fr-FR"/>
        </w:rPr>
        <w:t xml:space="preserve">See Projet de loi portant, i.a., approbation de la Convention du Conseil de l’Europe sur la cybercriminalité ouverte à la signature à Budapest le 23 novembre 2001, </w:t>
      </w:r>
      <w:r w:rsidRPr="00344890">
        <w:rPr>
          <w:i/>
          <w:sz w:val="20"/>
          <w:szCs w:val="20"/>
          <w:lang w:val="fr-FR"/>
        </w:rPr>
        <w:t>Chambre des Députés</w:t>
      </w:r>
      <w:r w:rsidRPr="00344890">
        <w:rPr>
          <w:sz w:val="20"/>
          <w:szCs w:val="20"/>
          <w:lang w:val="fr-FR"/>
        </w:rPr>
        <w:t xml:space="preserve">, Session 2012-13, No 6514/00, p. 13. See also S. </w:t>
      </w:r>
      <w:r w:rsidRPr="00344890">
        <w:rPr>
          <w:smallCaps/>
          <w:sz w:val="20"/>
          <w:szCs w:val="20"/>
          <w:lang w:val="fr-FR"/>
        </w:rPr>
        <w:t>Le Goueff</w:t>
      </w:r>
      <w:r w:rsidRPr="00344890">
        <w:rPr>
          <w:sz w:val="20"/>
          <w:szCs w:val="20"/>
          <w:lang w:val="fr-FR"/>
        </w:rPr>
        <w:t xml:space="preserve">, </w:t>
      </w:r>
      <w:r w:rsidRPr="00344890">
        <w:rPr>
          <w:i/>
          <w:sz w:val="20"/>
          <w:szCs w:val="20"/>
          <w:lang w:val="fr-FR"/>
        </w:rPr>
        <w:t>Internet et e-Commerce</w:t>
      </w:r>
      <w:r w:rsidRPr="00344890">
        <w:rPr>
          <w:sz w:val="20"/>
          <w:szCs w:val="20"/>
          <w:lang w:val="fr-FR"/>
        </w:rPr>
        <w:t xml:space="preserve">, Luxembourg, Editions Portalis, 2003, 190. </w:t>
      </w:r>
    </w:p>
  </w:footnote>
  <w:footnote w:id="93">
    <w:p w14:paraId="6C4BEE10" w14:textId="779D6689"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63 (1) of the Law of 14 August 2000.</w:t>
      </w:r>
    </w:p>
  </w:footnote>
  <w:footnote w:id="94">
    <w:p w14:paraId="0BDBE0F1" w14:textId="287301C3"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63 (2) of the Law of 14 August 2000 refers to Article 383, para. 2 of the Criminal Code, which apparently no longer exists but used to be inserted in the chapter on sexual offences against minors, and to Article 457-1 of the Criminal Code, encompassing certain hate speech offences.</w:t>
      </w:r>
    </w:p>
  </w:footnote>
  <w:footnote w:id="95">
    <w:p w14:paraId="02589B4B" w14:textId="5F66E144"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w:t>
      </w:r>
      <w:r w:rsidRPr="00344890">
        <w:rPr>
          <w:i/>
          <w:sz w:val="20"/>
          <w:szCs w:val="20"/>
        </w:rPr>
        <w:t>Cf.</w:t>
      </w:r>
      <w:r w:rsidRPr="00344890">
        <w:rPr>
          <w:sz w:val="20"/>
          <w:szCs w:val="20"/>
        </w:rPr>
        <w:t xml:space="preserve"> L. </w:t>
      </w:r>
      <w:proofErr w:type="spellStart"/>
      <w:r w:rsidRPr="00344890">
        <w:rPr>
          <w:smallCaps/>
          <w:sz w:val="20"/>
          <w:szCs w:val="20"/>
        </w:rPr>
        <w:t>Funck</w:t>
      </w:r>
      <w:proofErr w:type="spellEnd"/>
      <w:r w:rsidRPr="00344890">
        <w:rPr>
          <w:sz w:val="20"/>
          <w:szCs w:val="20"/>
        </w:rPr>
        <w:t xml:space="preserve">, “Chapter 17: Luxembourg”, </w:t>
      </w:r>
      <w:r w:rsidRPr="00344890">
        <w:rPr>
          <w:i/>
          <w:sz w:val="20"/>
          <w:szCs w:val="20"/>
        </w:rPr>
        <w:t>Technology, Media and Telecommunications Review</w:t>
      </w:r>
      <w:r w:rsidRPr="00344890">
        <w:rPr>
          <w:sz w:val="20"/>
          <w:szCs w:val="20"/>
        </w:rPr>
        <w:t xml:space="preserve"> 2014, (250) 261; </w:t>
      </w:r>
      <w:r w:rsidRPr="00344890">
        <w:rPr>
          <w:sz w:val="20"/>
          <w:szCs w:val="20"/>
          <w:shd w:val="clear" w:color="auto" w:fill="FFFFFF"/>
        </w:rPr>
        <w:t xml:space="preserve">T. </w:t>
      </w:r>
      <w:proofErr w:type="spellStart"/>
      <w:r w:rsidRPr="00344890">
        <w:rPr>
          <w:smallCaps/>
          <w:sz w:val="20"/>
          <w:szCs w:val="20"/>
          <w:shd w:val="clear" w:color="auto" w:fill="FFFFFF"/>
        </w:rPr>
        <w:t>Reisch</w:t>
      </w:r>
      <w:proofErr w:type="spellEnd"/>
      <w:r w:rsidRPr="00344890">
        <w:rPr>
          <w:sz w:val="20"/>
          <w:szCs w:val="20"/>
          <w:shd w:val="clear" w:color="auto" w:fill="FFFFFF"/>
        </w:rPr>
        <w:t xml:space="preserve">, </w:t>
      </w:r>
      <w:r w:rsidRPr="00344890">
        <w:rPr>
          <w:i/>
          <w:sz w:val="20"/>
          <w:szCs w:val="20"/>
        </w:rPr>
        <w:t>op. cit.</w:t>
      </w:r>
      <w:r w:rsidRPr="00344890">
        <w:rPr>
          <w:sz w:val="20"/>
          <w:szCs w:val="20"/>
        </w:rPr>
        <w:t>, 2008, 75-76.</w:t>
      </w:r>
    </w:p>
  </w:footnote>
  <w:footnote w:id="96">
    <w:p w14:paraId="09C80A14" w14:textId="59EDE82B"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Article 63 (3) of the Law of 14 August 2000. </w:t>
      </w:r>
      <w:r w:rsidRPr="00344890">
        <w:rPr>
          <w:i/>
          <w:sz w:val="20"/>
          <w:szCs w:val="20"/>
        </w:rPr>
        <w:t>Cf. supra</w:t>
      </w:r>
      <w:r w:rsidRPr="00344890">
        <w:rPr>
          <w:sz w:val="20"/>
          <w:szCs w:val="20"/>
        </w:rPr>
        <w:t xml:space="preserve"> sub question 6, Article 88-1 of the Code of Criminal Procedure.</w:t>
      </w:r>
    </w:p>
  </w:footnote>
  <w:footnote w:id="97">
    <w:p w14:paraId="7851B9E3" w14:textId="3F64040B"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Projet de loi portant, i.a., approbation de la Convention du Conseil de l’Europe sur la cybercriminalité ouverte à la signature à Budapest le 23 novembre 2001, </w:t>
      </w:r>
      <w:r w:rsidRPr="00344890">
        <w:rPr>
          <w:i/>
          <w:sz w:val="20"/>
          <w:szCs w:val="20"/>
          <w:lang w:val="fr-FR"/>
        </w:rPr>
        <w:t>Chambre des Députés</w:t>
      </w:r>
      <w:r w:rsidRPr="00344890">
        <w:rPr>
          <w:sz w:val="20"/>
          <w:szCs w:val="20"/>
          <w:lang w:val="fr-FR"/>
        </w:rPr>
        <w:t>, Session 2012-13, No 6514/00, p. 13.</w:t>
      </w:r>
    </w:p>
  </w:footnote>
  <w:footnote w:id="98">
    <w:p w14:paraId="5F7D985C" w14:textId="4F1DA781"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w:t>
      </w:r>
      <w:hyperlink r:id="rId7" w:history="1">
        <w:r w:rsidRPr="00344890">
          <w:rPr>
            <w:rStyle w:val="Hipercze"/>
            <w:sz w:val="20"/>
            <w:szCs w:val="20"/>
            <w:lang w:val="fr-FR"/>
          </w:rPr>
          <w:t>https://stopline.bee-secure.lu/</w:t>
        </w:r>
      </w:hyperlink>
      <w:r w:rsidRPr="00344890">
        <w:rPr>
          <w:sz w:val="20"/>
          <w:szCs w:val="20"/>
          <w:lang w:val="fr-FR"/>
        </w:rPr>
        <w:t xml:space="preserve"> .</w:t>
      </w:r>
    </w:p>
  </w:footnote>
  <w:footnote w:id="99">
    <w:p w14:paraId="704AF841" w14:textId="34983B09" w:rsidR="00871E84" w:rsidRPr="00344890" w:rsidRDefault="00871E84" w:rsidP="002637DA">
      <w:pPr>
        <w:pStyle w:val="Hoofdtekst"/>
        <w:spacing w:after="120"/>
        <w:jc w:val="both"/>
        <w:rPr>
          <w:rFonts w:ascii="Times New Roman" w:hAnsi="Times New Roman" w:cs="Times New Roman"/>
          <w:sz w:val="20"/>
          <w:szCs w:val="20"/>
          <w:lang w:val="en-US"/>
        </w:rPr>
      </w:pPr>
      <w:r w:rsidRPr="00344890">
        <w:rPr>
          <w:rStyle w:val="Odwoanieprzypisudolnego"/>
          <w:rFonts w:ascii="Times New Roman" w:hAnsi="Times New Roman" w:cs="Times New Roman"/>
          <w:sz w:val="20"/>
          <w:szCs w:val="20"/>
        </w:rPr>
        <w:footnoteRef/>
      </w:r>
      <w:r w:rsidRPr="00344890">
        <w:rPr>
          <w:rFonts w:ascii="Times New Roman" w:hAnsi="Times New Roman" w:cs="Times New Roman"/>
          <w:sz w:val="20"/>
          <w:szCs w:val="20"/>
          <w:lang w:val="en-US"/>
        </w:rPr>
        <w:t xml:space="preserve"> Available at: </w:t>
      </w:r>
      <w:hyperlink r:id="rId8" w:history="1">
        <w:r w:rsidRPr="00344890">
          <w:rPr>
            <w:rStyle w:val="Hipercze"/>
            <w:rFonts w:ascii="Times New Roman" w:hAnsi="Times New Roman" w:cs="Times New Roman"/>
            <w:sz w:val="20"/>
            <w:szCs w:val="20"/>
            <w:lang w:val="en-US"/>
          </w:rPr>
          <w:t>http://ec.europa.eu/dgs/home-affairs/what-we-do/policies/organized-crime-and-human-trafficking/global-alliance-against-child-abuse/docs/reports-2014/ga_report_2014_-_luxembourg_en.pdf</w:t>
        </w:r>
      </w:hyperlink>
      <w:r w:rsidRPr="00344890">
        <w:rPr>
          <w:rFonts w:ascii="Times New Roman" w:hAnsi="Times New Roman" w:cs="Times New Roman"/>
          <w:sz w:val="20"/>
          <w:szCs w:val="20"/>
          <w:lang w:val="en-US"/>
        </w:rPr>
        <w:t xml:space="preserve">. </w:t>
      </w:r>
    </w:p>
  </w:footnote>
  <w:footnote w:id="100">
    <w:p w14:paraId="0C49EBC5" w14:textId="4210024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Global Alliance against Child Sexual Abuse Online, Report, p. 2.</w:t>
      </w:r>
    </w:p>
  </w:footnote>
  <w:footnote w:id="101">
    <w:p w14:paraId="0789C0E4" w14:textId="26558655"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Global Alliance against Child Sexual Abuse Online, Report, p. 6.</w:t>
      </w:r>
    </w:p>
  </w:footnote>
  <w:footnote w:id="102">
    <w:p w14:paraId="0722D8F7" w14:textId="48FE1380"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Available at: </w:t>
      </w:r>
      <w:hyperlink r:id="rId9" w:history="1">
        <w:r w:rsidRPr="00344890">
          <w:rPr>
            <w:rStyle w:val="Hipercze"/>
            <w:sz w:val="20"/>
            <w:szCs w:val="20"/>
          </w:rPr>
          <w:t>http://www.coe.int/t/dlapil/codexter/Source/cyberterrorism/Luxembourg.pdf</w:t>
        </w:r>
      </w:hyperlink>
      <w:r w:rsidRPr="00344890">
        <w:rPr>
          <w:sz w:val="20"/>
          <w:szCs w:val="20"/>
        </w:rPr>
        <w:t>.</w:t>
      </w:r>
    </w:p>
  </w:footnote>
  <w:footnote w:id="103">
    <w:p w14:paraId="5EEA3F3D" w14:textId="77777777"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CODEXTER Report, p. 5, sub question 5.</w:t>
      </w:r>
    </w:p>
  </w:footnote>
  <w:footnote w:id="104">
    <w:p w14:paraId="5B88FA40" w14:textId="77777777"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CODEXTER Report, p. 10, sub question 11.</w:t>
      </w:r>
    </w:p>
  </w:footnote>
  <w:footnote w:id="105">
    <w:p w14:paraId="30F54317" w14:textId="77777777" w:rsidR="00871E84" w:rsidRPr="00344890" w:rsidRDefault="00871E84" w:rsidP="002637DA">
      <w:pPr>
        <w:pStyle w:val="Tekstprzypisudolnego"/>
        <w:jc w:val="both"/>
        <w:rPr>
          <w:sz w:val="20"/>
          <w:szCs w:val="20"/>
          <w:lang w:val="fr-FR"/>
        </w:rPr>
      </w:pPr>
      <w:r w:rsidRPr="00344890">
        <w:rPr>
          <w:rStyle w:val="Odwoanieprzypisudolnego"/>
          <w:sz w:val="20"/>
          <w:szCs w:val="20"/>
        </w:rPr>
        <w:footnoteRef/>
      </w:r>
      <w:r w:rsidRPr="00344890">
        <w:rPr>
          <w:sz w:val="20"/>
          <w:szCs w:val="20"/>
          <w:lang w:val="fr-FR"/>
        </w:rPr>
        <w:t xml:space="preserve"> CODEXTER Report, p. 10, sub question 13.</w:t>
      </w:r>
    </w:p>
  </w:footnote>
  <w:footnote w:id="106">
    <w:p w14:paraId="4C1B9B07" w14:textId="77777777" w:rsidR="00871E84" w:rsidRPr="00344890"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For an overview of the ongoing legislative process, see </w:t>
      </w:r>
      <w:hyperlink r:id="rId10" w:history="1">
        <w:r w:rsidRPr="00344890">
          <w:rPr>
            <w:rStyle w:val="Hipercze"/>
            <w:sz w:val="20"/>
            <w:szCs w:val="20"/>
          </w:rPr>
          <w:t>http://www.chd.lu/wps/portal/public/!ut/p/b1/04_SjzQ0NTKzNDEzNTPWj9CPykssy0xPLMnMz0vMAfGjzOKNDNzCwtyM3B2DQo2MDBzdTcOCgzzNjA28DYEKIkEKLCyCg9wdfV0tLUOdDDwNnA2DXQOdjAw8jYjTb4ADOBoQ0u_nkZ-bqp8bleNm4aioCAB4d-91/dl4/d5/L0lDU0lKSWdrbUEhIS9JRFJBQUlpQ2dBek15cXchLzRKQ2lEb01OdEJqdEJIZmxDRUEhL1o3XzIwRlZWRjJHQVJVMjIwQUc1VlNSSTYzMFQ3LzA!/?PC_Z7_20FVVF2GARU220AG5VSRI630T7019404_action=doDocpaDetails&amp;id=6763&amp;filter_action=doDocpaDetails&amp;PC_Z7_20FVVF2GARU220AG5VSRI630T7019404_displayLink=true&amp;PC_Z7_20FVVF2GARU220AG5VSRI630T7019404_numPage=1&amp;PC_Z7_20FVVF2GARU220AG5VSRI630T7019404_positionInHistory=&amp;PC_Z7_20FVVF2GARU220AG5VSRI630T7019404_display=1&amp;PC_Z7_20FVVF2GARU220AG5VSRI630T7019404_EtatDossier=En+cours&amp;PC_Z7_20FVVF2GARU220AG5VSRI630T7019404_TypesDeTri=Numero&amp;PC_Z7_20FVVF2GARU220AG5VSRI630T7019404_SortOrder=DESC&amp;PC_Z7_20FVVF2GARU220AG5VSRI630T7019404_numPageTop=1&amp;PC_Z7_20FVVF2GARU220AG5VSRI630T7019404_numPageBottom=1#</w:t>
        </w:r>
      </w:hyperlink>
      <w:r w:rsidRPr="00344890">
        <w:rPr>
          <w:sz w:val="20"/>
          <w:szCs w:val="20"/>
        </w:rPr>
        <w:t xml:space="preserve"> </w:t>
      </w:r>
    </w:p>
  </w:footnote>
  <w:footnote w:id="107">
    <w:p w14:paraId="5A1734EE" w14:textId="554CB3AF" w:rsidR="00871E84" w:rsidRPr="00344890" w:rsidRDefault="00871E84" w:rsidP="002637DA">
      <w:pPr>
        <w:pStyle w:val="Voetnoot"/>
        <w:jc w:val="both"/>
        <w:rPr>
          <w:rFonts w:ascii="Times New Roman" w:eastAsia="Arial Unicode MS" w:hAnsi="Times New Roman" w:cs="Times New Roman"/>
          <w:sz w:val="20"/>
          <w:szCs w:val="20"/>
          <w:lang w:val="en-US"/>
        </w:rPr>
      </w:pPr>
      <w:r w:rsidRPr="00344890">
        <w:rPr>
          <w:rFonts w:ascii="Times New Roman" w:hAnsi="Times New Roman" w:cs="Times New Roman"/>
          <w:sz w:val="20"/>
          <w:szCs w:val="20"/>
          <w:vertAlign w:val="superscript"/>
        </w:rPr>
        <w:footnoteRef/>
      </w:r>
      <w:r w:rsidRPr="00344890">
        <w:rPr>
          <w:rFonts w:ascii="Times New Roman" w:eastAsia="Arial Unicode MS" w:hAnsi="Times New Roman" w:cs="Times New Roman"/>
          <w:sz w:val="20"/>
          <w:szCs w:val="20"/>
          <w:lang w:val="en-US"/>
        </w:rPr>
        <w:t xml:space="preserve"> </w:t>
      </w:r>
      <w:r w:rsidRPr="00344890">
        <w:rPr>
          <w:rFonts w:ascii="Times New Roman" w:hAnsi="Times New Roman" w:cs="Times New Roman"/>
          <w:sz w:val="20"/>
          <w:szCs w:val="20"/>
          <w:lang w:val="en-US"/>
        </w:rPr>
        <w:t xml:space="preserve">CJEU, Joined Cases C-293/12 and C-594/12, </w:t>
      </w:r>
      <w:r w:rsidRPr="00344890">
        <w:rPr>
          <w:rFonts w:ascii="Times New Roman" w:hAnsi="Times New Roman" w:cs="Times New Roman"/>
          <w:i/>
          <w:sz w:val="20"/>
          <w:szCs w:val="20"/>
          <w:lang w:val="en-US"/>
        </w:rPr>
        <w:t>Digital Rights Ireland Ltd v. Minister for Communications, Marine and Natural Resources and Others</w:t>
      </w:r>
      <w:r w:rsidRPr="00344890">
        <w:rPr>
          <w:rFonts w:ascii="Times New Roman" w:hAnsi="Times New Roman" w:cs="Times New Roman"/>
          <w:sz w:val="20"/>
          <w:szCs w:val="20"/>
          <w:lang w:val="en-US"/>
        </w:rPr>
        <w:t>, 8 April 2014</w:t>
      </w:r>
      <w:r w:rsidRPr="00344890">
        <w:rPr>
          <w:rFonts w:ascii="Times New Roman" w:eastAsia="Arial Unicode MS" w:hAnsi="Times New Roman" w:cs="Times New Roman"/>
          <w:sz w:val="20"/>
          <w:szCs w:val="20"/>
          <w:lang w:val="en-US"/>
        </w:rPr>
        <w:t xml:space="preserve">. </w:t>
      </w:r>
    </w:p>
  </w:footnote>
  <w:footnote w:id="108">
    <w:p w14:paraId="4756830D" w14:textId="77777777" w:rsidR="00871E84" w:rsidRPr="002637DA" w:rsidRDefault="00871E84" w:rsidP="002637DA">
      <w:pPr>
        <w:pStyle w:val="Tekstprzypisudolnego"/>
        <w:jc w:val="both"/>
        <w:rPr>
          <w:sz w:val="20"/>
          <w:szCs w:val="20"/>
        </w:rPr>
      </w:pPr>
      <w:r w:rsidRPr="00344890">
        <w:rPr>
          <w:rStyle w:val="Odwoanieprzypisudolnego"/>
          <w:sz w:val="20"/>
          <w:szCs w:val="20"/>
        </w:rPr>
        <w:footnoteRef/>
      </w:r>
      <w:r w:rsidRPr="00344890">
        <w:rPr>
          <w:sz w:val="20"/>
          <w:szCs w:val="20"/>
        </w:rPr>
        <w:t xml:space="preserve"> For an overview of the ongoing legislative process, see </w:t>
      </w:r>
      <w:hyperlink r:id="rId11" w:history="1">
        <w:r w:rsidRPr="00344890">
          <w:rPr>
            <w:rStyle w:val="Hipercze"/>
            <w:sz w:val="20"/>
            <w:szCs w:val="20"/>
          </w:rPr>
          <w:t>http://www.chd.lu/wps/portal/public/!ut/p/b1/04_SjzQ3NTUzMTQz1I_Qj8pLLMtMTyzJzM9LzAHxo8zijQzcwsLcjNwdg0KNjAwc3U3DgoM8zYwNvEEaIkEKLCyCg9wdfV0tLUOdDDwNnA2DXQOdjAw8jYjTb4ADOBoQ0u_nkZ-bqp8bleNm4aioCABFSVUa/dl4/d5/L0lDU0lKSWdrbUEhIS9JRFJBQUlpQ2dBek15cXchLzRKQ2lEb01OdEJqdEJIZmxDRUEhL1o3XzIwRlZWRjJHQVJVMjIwQUc1VlNSSTYzMFQ3LzA!/?PC_Z7_20FVVF2GARU220AG5VSRI630T7019404_action=doDocpaDetails&amp;id=6675&amp;filter_action=doDocpaDetails&amp;PC_Z7_20FVVF2GARU220AG5VSRI630T7019404_displayLink=true&amp;PC_Z7_20FVVF2GARU220AG5VSRI630T7019404_numPage=1&amp;PC_Z7_20FVVF2GARU220AG5VSRI630T7019404_positionInHistory=&amp;PC_Z7_20FVVF2GARU220AG5VSRI630T7019404_display=13&amp;PC_Z7_20FVVF2GARU220AG5VSRI630T7019404_numPageTop=1&amp;PC_Z7_20FVVF2GARU220AG5VSRI630T7019404_numPageBottom=1#</w:t>
        </w:r>
      </w:hyperlink>
      <w:r w:rsidRPr="002637DA">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A33"/>
    <w:multiLevelType w:val="hybridMultilevel"/>
    <w:tmpl w:val="792E79B4"/>
    <w:lvl w:ilvl="0" w:tplc="E2404FA2">
      <w:start w:val="1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7D4645"/>
    <w:multiLevelType w:val="hybridMultilevel"/>
    <w:tmpl w:val="05A844F0"/>
    <w:lvl w:ilvl="0" w:tplc="C87A66CC">
      <w:start w:val="1"/>
      <w:numFmt w:val="lowerLetter"/>
      <w:lvlText w:val="%1."/>
      <w:lvlJc w:val="left"/>
      <w:pPr>
        <w:ind w:left="720" w:hanging="360"/>
      </w:pPr>
      <w:rPr>
        <w:rFonts w:eastAsiaTheme="minorEastAsia" w:hint="default"/>
        <w:color w:val="auto"/>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3FE44763"/>
    <w:multiLevelType w:val="hybridMultilevel"/>
    <w:tmpl w:val="3BEE8114"/>
    <w:lvl w:ilvl="0" w:tplc="BAB8947E">
      <w:start w:val="1"/>
      <w:numFmt w:val="bullet"/>
      <w:lvlText w:val="-"/>
      <w:lvlJc w:val="left"/>
      <w:pPr>
        <w:ind w:left="1800" w:hanging="360"/>
      </w:pPr>
      <w:rPr>
        <w:rFonts w:ascii="Times New Roman" w:eastAsia="Arial Unicode MS" w:hAnsi="Times New Roman" w:cs="Times New Roman" w:hint="default"/>
      </w:rPr>
    </w:lvl>
    <w:lvl w:ilvl="1" w:tplc="140C0003" w:tentative="1">
      <w:start w:val="1"/>
      <w:numFmt w:val="bullet"/>
      <w:lvlText w:val="o"/>
      <w:lvlJc w:val="left"/>
      <w:pPr>
        <w:ind w:left="2520" w:hanging="360"/>
      </w:pPr>
      <w:rPr>
        <w:rFonts w:ascii="Courier New" w:hAnsi="Courier New" w:cs="Courier New" w:hint="default"/>
      </w:rPr>
    </w:lvl>
    <w:lvl w:ilvl="2" w:tplc="140C0005" w:tentative="1">
      <w:start w:val="1"/>
      <w:numFmt w:val="bullet"/>
      <w:lvlText w:val=""/>
      <w:lvlJc w:val="left"/>
      <w:pPr>
        <w:ind w:left="3240" w:hanging="360"/>
      </w:pPr>
      <w:rPr>
        <w:rFonts w:ascii="Wingdings" w:hAnsi="Wingdings" w:hint="default"/>
      </w:rPr>
    </w:lvl>
    <w:lvl w:ilvl="3" w:tplc="140C0001" w:tentative="1">
      <w:start w:val="1"/>
      <w:numFmt w:val="bullet"/>
      <w:lvlText w:val=""/>
      <w:lvlJc w:val="left"/>
      <w:pPr>
        <w:ind w:left="3960" w:hanging="360"/>
      </w:pPr>
      <w:rPr>
        <w:rFonts w:ascii="Symbol" w:hAnsi="Symbol" w:hint="default"/>
      </w:rPr>
    </w:lvl>
    <w:lvl w:ilvl="4" w:tplc="140C0003" w:tentative="1">
      <w:start w:val="1"/>
      <w:numFmt w:val="bullet"/>
      <w:lvlText w:val="o"/>
      <w:lvlJc w:val="left"/>
      <w:pPr>
        <w:ind w:left="4680" w:hanging="360"/>
      </w:pPr>
      <w:rPr>
        <w:rFonts w:ascii="Courier New" w:hAnsi="Courier New" w:cs="Courier New" w:hint="default"/>
      </w:rPr>
    </w:lvl>
    <w:lvl w:ilvl="5" w:tplc="140C0005" w:tentative="1">
      <w:start w:val="1"/>
      <w:numFmt w:val="bullet"/>
      <w:lvlText w:val=""/>
      <w:lvlJc w:val="left"/>
      <w:pPr>
        <w:ind w:left="5400" w:hanging="360"/>
      </w:pPr>
      <w:rPr>
        <w:rFonts w:ascii="Wingdings" w:hAnsi="Wingdings" w:hint="default"/>
      </w:rPr>
    </w:lvl>
    <w:lvl w:ilvl="6" w:tplc="140C0001" w:tentative="1">
      <w:start w:val="1"/>
      <w:numFmt w:val="bullet"/>
      <w:lvlText w:val=""/>
      <w:lvlJc w:val="left"/>
      <w:pPr>
        <w:ind w:left="6120" w:hanging="360"/>
      </w:pPr>
      <w:rPr>
        <w:rFonts w:ascii="Symbol" w:hAnsi="Symbol" w:hint="default"/>
      </w:rPr>
    </w:lvl>
    <w:lvl w:ilvl="7" w:tplc="140C0003" w:tentative="1">
      <w:start w:val="1"/>
      <w:numFmt w:val="bullet"/>
      <w:lvlText w:val="o"/>
      <w:lvlJc w:val="left"/>
      <w:pPr>
        <w:ind w:left="6840" w:hanging="360"/>
      </w:pPr>
      <w:rPr>
        <w:rFonts w:ascii="Courier New" w:hAnsi="Courier New" w:cs="Courier New" w:hint="default"/>
      </w:rPr>
    </w:lvl>
    <w:lvl w:ilvl="8" w:tplc="140C0005" w:tentative="1">
      <w:start w:val="1"/>
      <w:numFmt w:val="bullet"/>
      <w:lvlText w:val=""/>
      <w:lvlJc w:val="left"/>
      <w:pPr>
        <w:ind w:left="7560" w:hanging="360"/>
      </w:pPr>
      <w:rPr>
        <w:rFonts w:ascii="Wingdings" w:hAnsi="Wingdings" w:hint="default"/>
      </w:rPr>
    </w:lvl>
  </w:abstractNum>
  <w:abstractNum w:abstractNumId="3">
    <w:nsid w:val="44C462D9"/>
    <w:multiLevelType w:val="hybridMultilevel"/>
    <w:tmpl w:val="E7D6ABB6"/>
    <w:lvl w:ilvl="0" w:tplc="CDA25C0E">
      <w:start w:val="2"/>
      <w:numFmt w:val="decimal"/>
      <w:lvlText w:val="%1."/>
      <w:lvlJc w:val="left"/>
      <w:pPr>
        <w:ind w:left="2508" w:hanging="360"/>
      </w:pPr>
      <w:rPr>
        <w:rFonts w:hint="default"/>
      </w:rPr>
    </w:lvl>
    <w:lvl w:ilvl="1" w:tplc="140C0019" w:tentative="1">
      <w:start w:val="1"/>
      <w:numFmt w:val="lowerLetter"/>
      <w:lvlText w:val="%2."/>
      <w:lvlJc w:val="left"/>
      <w:pPr>
        <w:ind w:left="3228" w:hanging="360"/>
      </w:pPr>
    </w:lvl>
    <w:lvl w:ilvl="2" w:tplc="140C001B" w:tentative="1">
      <w:start w:val="1"/>
      <w:numFmt w:val="lowerRoman"/>
      <w:lvlText w:val="%3."/>
      <w:lvlJc w:val="right"/>
      <w:pPr>
        <w:ind w:left="3948" w:hanging="180"/>
      </w:pPr>
    </w:lvl>
    <w:lvl w:ilvl="3" w:tplc="140C000F" w:tentative="1">
      <w:start w:val="1"/>
      <w:numFmt w:val="decimal"/>
      <w:lvlText w:val="%4."/>
      <w:lvlJc w:val="left"/>
      <w:pPr>
        <w:ind w:left="4668" w:hanging="360"/>
      </w:pPr>
    </w:lvl>
    <w:lvl w:ilvl="4" w:tplc="140C0019" w:tentative="1">
      <w:start w:val="1"/>
      <w:numFmt w:val="lowerLetter"/>
      <w:lvlText w:val="%5."/>
      <w:lvlJc w:val="left"/>
      <w:pPr>
        <w:ind w:left="5388" w:hanging="360"/>
      </w:pPr>
    </w:lvl>
    <w:lvl w:ilvl="5" w:tplc="140C001B" w:tentative="1">
      <w:start w:val="1"/>
      <w:numFmt w:val="lowerRoman"/>
      <w:lvlText w:val="%6."/>
      <w:lvlJc w:val="right"/>
      <w:pPr>
        <w:ind w:left="6108" w:hanging="180"/>
      </w:pPr>
    </w:lvl>
    <w:lvl w:ilvl="6" w:tplc="140C000F" w:tentative="1">
      <w:start w:val="1"/>
      <w:numFmt w:val="decimal"/>
      <w:lvlText w:val="%7."/>
      <w:lvlJc w:val="left"/>
      <w:pPr>
        <w:ind w:left="6828" w:hanging="360"/>
      </w:pPr>
    </w:lvl>
    <w:lvl w:ilvl="7" w:tplc="140C0019" w:tentative="1">
      <w:start w:val="1"/>
      <w:numFmt w:val="lowerLetter"/>
      <w:lvlText w:val="%8."/>
      <w:lvlJc w:val="left"/>
      <w:pPr>
        <w:ind w:left="7548" w:hanging="360"/>
      </w:pPr>
    </w:lvl>
    <w:lvl w:ilvl="8" w:tplc="140C001B" w:tentative="1">
      <w:start w:val="1"/>
      <w:numFmt w:val="lowerRoman"/>
      <w:lvlText w:val="%9."/>
      <w:lvlJc w:val="right"/>
      <w:pPr>
        <w:ind w:left="8268" w:hanging="180"/>
      </w:pPr>
    </w:lvl>
  </w:abstractNum>
  <w:abstractNum w:abstractNumId="4">
    <w:nsid w:val="47B36F09"/>
    <w:multiLevelType w:val="hybridMultilevel"/>
    <w:tmpl w:val="B3322710"/>
    <w:lvl w:ilvl="0" w:tplc="53EACB4C">
      <w:start w:val="16"/>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5A07FD"/>
    <w:multiLevelType w:val="hybridMultilevel"/>
    <w:tmpl w:val="645EF58C"/>
    <w:lvl w:ilvl="0" w:tplc="C7E099CA">
      <w:start w:val="1"/>
      <w:numFmt w:val="bullet"/>
      <w:lvlText w:val="-"/>
      <w:lvlJc w:val="left"/>
      <w:pPr>
        <w:ind w:left="1800" w:hanging="360"/>
      </w:pPr>
      <w:rPr>
        <w:rFonts w:ascii="Times New Roman" w:eastAsia="Arial Unicode MS" w:hAnsi="Times New Roman" w:cs="Times New Roman" w:hint="default"/>
      </w:rPr>
    </w:lvl>
    <w:lvl w:ilvl="1" w:tplc="140C0003">
      <w:start w:val="1"/>
      <w:numFmt w:val="bullet"/>
      <w:lvlText w:val="o"/>
      <w:lvlJc w:val="left"/>
      <w:pPr>
        <w:ind w:left="2520" w:hanging="360"/>
      </w:pPr>
      <w:rPr>
        <w:rFonts w:ascii="Courier New" w:hAnsi="Courier New" w:cs="Courier New" w:hint="default"/>
      </w:rPr>
    </w:lvl>
    <w:lvl w:ilvl="2" w:tplc="140C0005">
      <w:start w:val="1"/>
      <w:numFmt w:val="bullet"/>
      <w:lvlText w:val=""/>
      <w:lvlJc w:val="left"/>
      <w:pPr>
        <w:ind w:left="3240" w:hanging="360"/>
      </w:pPr>
      <w:rPr>
        <w:rFonts w:ascii="Wingdings" w:hAnsi="Wingdings" w:hint="default"/>
      </w:rPr>
    </w:lvl>
    <w:lvl w:ilvl="3" w:tplc="140C0001" w:tentative="1">
      <w:start w:val="1"/>
      <w:numFmt w:val="bullet"/>
      <w:lvlText w:val=""/>
      <w:lvlJc w:val="left"/>
      <w:pPr>
        <w:ind w:left="3960" w:hanging="360"/>
      </w:pPr>
      <w:rPr>
        <w:rFonts w:ascii="Symbol" w:hAnsi="Symbol" w:hint="default"/>
      </w:rPr>
    </w:lvl>
    <w:lvl w:ilvl="4" w:tplc="140C0003" w:tentative="1">
      <w:start w:val="1"/>
      <w:numFmt w:val="bullet"/>
      <w:lvlText w:val="o"/>
      <w:lvlJc w:val="left"/>
      <w:pPr>
        <w:ind w:left="4680" w:hanging="360"/>
      </w:pPr>
      <w:rPr>
        <w:rFonts w:ascii="Courier New" w:hAnsi="Courier New" w:cs="Courier New" w:hint="default"/>
      </w:rPr>
    </w:lvl>
    <w:lvl w:ilvl="5" w:tplc="140C0005" w:tentative="1">
      <w:start w:val="1"/>
      <w:numFmt w:val="bullet"/>
      <w:lvlText w:val=""/>
      <w:lvlJc w:val="left"/>
      <w:pPr>
        <w:ind w:left="5400" w:hanging="360"/>
      </w:pPr>
      <w:rPr>
        <w:rFonts w:ascii="Wingdings" w:hAnsi="Wingdings" w:hint="default"/>
      </w:rPr>
    </w:lvl>
    <w:lvl w:ilvl="6" w:tplc="140C0001" w:tentative="1">
      <w:start w:val="1"/>
      <w:numFmt w:val="bullet"/>
      <w:lvlText w:val=""/>
      <w:lvlJc w:val="left"/>
      <w:pPr>
        <w:ind w:left="6120" w:hanging="360"/>
      </w:pPr>
      <w:rPr>
        <w:rFonts w:ascii="Symbol" w:hAnsi="Symbol" w:hint="default"/>
      </w:rPr>
    </w:lvl>
    <w:lvl w:ilvl="7" w:tplc="140C0003" w:tentative="1">
      <w:start w:val="1"/>
      <w:numFmt w:val="bullet"/>
      <w:lvlText w:val="o"/>
      <w:lvlJc w:val="left"/>
      <w:pPr>
        <w:ind w:left="6840" w:hanging="360"/>
      </w:pPr>
      <w:rPr>
        <w:rFonts w:ascii="Courier New" w:hAnsi="Courier New" w:cs="Courier New" w:hint="default"/>
      </w:rPr>
    </w:lvl>
    <w:lvl w:ilvl="8" w:tplc="140C0005" w:tentative="1">
      <w:start w:val="1"/>
      <w:numFmt w:val="bullet"/>
      <w:lvlText w:val=""/>
      <w:lvlJc w:val="left"/>
      <w:pPr>
        <w:ind w:left="7560" w:hanging="360"/>
      </w:pPr>
      <w:rPr>
        <w:rFonts w:ascii="Wingdings" w:hAnsi="Wingdings" w:hint="default"/>
      </w:rPr>
    </w:lvl>
  </w:abstractNum>
  <w:abstractNum w:abstractNumId="6">
    <w:nsid w:val="5EFF28B0"/>
    <w:multiLevelType w:val="hybridMultilevel"/>
    <w:tmpl w:val="8A14C5F0"/>
    <w:lvl w:ilvl="0" w:tplc="D3F89026">
      <w:start w:val="1"/>
      <w:numFmt w:val="decimal"/>
      <w:lvlText w:val="%1."/>
      <w:lvlJc w:val="left"/>
      <w:pPr>
        <w:ind w:left="2160" w:hanging="360"/>
      </w:pPr>
      <w:rPr>
        <w:rFonts w:hint="default"/>
      </w:rPr>
    </w:lvl>
    <w:lvl w:ilvl="1" w:tplc="140C0019" w:tentative="1">
      <w:start w:val="1"/>
      <w:numFmt w:val="lowerLetter"/>
      <w:lvlText w:val="%2."/>
      <w:lvlJc w:val="left"/>
      <w:pPr>
        <w:ind w:left="2880" w:hanging="360"/>
      </w:pPr>
    </w:lvl>
    <w:lvl w:ilvl="2" w:tplc="140C001B" w:tentative="1">
      <w:start w:val="1"/>
      <w:numFmt w:val="lowerRoman"/>
      <w:lvlText w:val="%3."/>
      <w:lvlJc w:val="right"/>
      <w:pPr>
        <w:ind w:left="3600" w:hanging="180"/>
      </w:pPr>
    </w:lvl>
    <w:lvl w:ilvl="3" w:tplc="140C000F" w:tentative="1">
      <w:start w:val="1"/>
      <w:numFmt w:val="decimal"/>
      <w:lvlText w:val="%4."/>
      <w:lvlJc w:val="left"/>
      <w:pPr>
        <w:ind w:left="4320" w:hanging="360"/>
      </w:pPr>
    </w:lvl>
    <w:lvl w:ilvl="4" w:tplc="140C0019" w:tentative="1">
      <w:start w:val="1"/>
      <w:numFmt w:val="lowerLetter"/>
      <w:lvlText w:val="%5."/>
      <w:lvlJc w:val="left"/>
      <w:pPr>
        <w:ind w:left="5040" w:hanging="360"/>
      </w:pPr>
    </w:lvl>
    <w:lvl w:ilvl="5" w:tplc="140C001B" w:tentative="1">
      <w:start w:val="1"/>
      <w:numFmt w:val="lowerRoman"/>
      <w:lvlText w:val="%6."/>
      <w:lvlJc w:val="right"/>
      <w:pPr>
        <w:ind w:left="5760" w:hanging="180"/>
      </w:pPr>
    </w:lvl>
    <w:lvl w:ilvl="6" w:tplc="140C000F" w:tentative="1">
      <w:start w:val="1"/>
      <w:numFmt w:val="decimal"/>
      <w:lvlText w:val="%7."/>
      <w:lvlJc w:val="left"/>
      <w:pPr>
        <w:ind w:left="6480" w:hanging="360"/>
      </w:pPr>
    </w:lvl>
    <w:lvl w:ilvl="7" w:tplc="140C0019" w:tentative="1">
      <w:start w:val="1"/>
      <w:numFmt w:val="lowerLetter"/>
      <w:lvlText w:val="%8."/>
      <w:lvlJc w:val="left"/>
      <w:pPr>
        <w:ind w:left="7200" w:hanging="360"/>
      </w:pPr>
    </w:lvl>
    <w:lvl w:ilvl="8" w:tplc="140C001B" w:tentative="1">
      <w:start w:val="1"/>
      <w:numFmt w:val="lowerRoman"/>
      <w:lvlText w:val="%9."/>
      <w:lvlJc w:val="right"/>
      <w:pPr>
        <w:ind w:left="7920" w:hanging="180"/>
      </w:pPr>
    </w:lvl>
  </w:abstractNum>
  <w:abstractNum w:abstractNumId="7">
    <w:nsid w:val="700C446F"/>
    <w:multiLevelType w:val="hybridMultilevel"/>
    <w:tmpl w:val="A48C138A"/>
    <w:lvl w:ilvl="0" w:tplc="112E8234">
      <w:start w:val="1"/>
      <w:numFmt w:val="lowerLetter"/>
      <w:lvlText w:val="(%1)"/>
      <w:lvlJc w:val="left"/>
      <w:pPr>
        <w:ind w:left="1777" w:hanging="360"/>
      </w:pPr>
      <w:rPr>
        <w:rFonts w:hint="default"/>
      </w:rPr>
    </w:lvl>
    <w:lvl w:ilvl="1" w:tplc="140C0019" w:tentative="1">
      <w:start w:val="1"/>
      <w:numFmt w:val="lowerLetter"/>
      <w:lvlText w:val="%2."/>
      <w:lvlJc w:val="left"/>
      <w:pPr>
        <w:ind w:left="3960" w:hanging="360"/>
      </w:pPr>
    </w:lvl>
    <w:lvl w:ilvl="2" w:tplc="140C001B" w:tentative="1">
      <w:start w:val="1"/>
      <w:numFmt w:val="lowerRoman"/>
      <w:lvlText w:val="%3."/>
      <w:lvlJc w:val="right"/>
      <w:pPr>
        <w:ind w:left="4680" w:hanging="180"/>
      </w:pPr>
    </w:lvl>
    <w:lvl w:ilvl="3" w:tplc="140C000F" w:tentative="1">
      <w:start w:val="1"/>
      <w:numFmt w:val="decimal"/>
      <w:lvlText w:val="%4."/>
      <w:lvlJc w:val="left"/>
      <w:pPr>
        <w:ind w:left="5400" w:hanging="360"/>
      </w:pPr>
    </w:lvl>
    <w:lvl w:ilvl="4" w:tplc="140C0019" w:tentative="1">
      <w:start w:val="1"/>
      <w:numFmt w:val="lowerLetter"/>
      <w:lvlText w:val="%5."/>
      <w:lvlJc w:val="left"/>
      <w:pPr>
        <w:ind w:left="6120" w:hanging="360"/>
      </w:pPr>
    </w:lvl>
    <w:lvl w:ilvl="5" w:tplc="140C001B" w:tentative="1">
      <w:start w:val="1"/>
      <w:numFmt w:val="lowerRoman"/>
      <w:lvlText w:val="%6."/>
      <w:lvlJc w:val="right"/>
      <w:pPr>
        <w:ind w:left="6840" w:hanging="180"/>
      </w:pPr>
    </w:lvl>
    <w:lvl w:ilvl="6" w:tplc="140C000F" w:tentative="1">
      <w:start w:val="1"/>
      <w:numFmt w:val="decimal"/>
      <w:lvlText w:val="%7."/>
      <w:lvlJc w:val="left"/>
      <w:pPr>
        <w:ind w:left="7560" w:hanging="360"/>
      </w:pPr>
    </w:lvl>
    <w:lvl w:ilvl="7" w:tplc="140C0019" w:tentative="1">
      <w:start w:val="1"/>
      <w:numFmt w:val="lowerLetter"/>
      <w:lvlText w:val="%8."/>
      <w:lvlJc w:val="left"/>
      <w:pPr>
        <w:ind w:left="8280" w:hanging="360"/>
      </w:pPr>
    </w:lvl>
    <w:lvl w:ilvl="8" w:tplc="140C001B" w:tentative="1">
      <w:start w:val="1"/>
      <w:numFmt w:val="lowerRoman"/>
      <w:lvlText w:val="%9."/>
      <w:lvlJc w:val="right"/>
      <w:pPr>
        <w:ind w:left="9000" w:hanging="180"/>
      </w:pPr>
    </w:lvl>
  </w:abstractNum>
  <w:abstractNum w:abstractNumId="8">
    <w:nsid w:val="71627E71"/>
    <w:multiLevelType w:val="hybridMultilevel"/>
    <w:tmpl w:val="F2A06F14"/>
    <w:lvl w:ilvl="0" w:tplc="4980386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1E"/>
    <w:rsid w:val="00000860"/>
    <w:rsid w:val="00005C3C"/>
    <w:rsid w:val="00006B7E"/>
    <w:rsid w:val="00006B85"/>
    <w:rsid w:val="00017ADA"/>
    <w:rsid w:val="00017CD4"/>
    <w:rsid w:val="00023C31"/>
    <w:rsid w:val="00026556"/>
    <w:rsid w:val="00026620"/>
    <w:rsid w:val="00027F62"/>
    <w:rsid w:val="00041486"/>
    <w:rsid w:val="000455A3"/>
    <w:rsid w:val="000462C3"/>
    <w:rsid w:val="00052410"/>
    <w:rsid w:val="00072EA1"/>
    <w:rsid w:val="000816AF"/>
    <w:rsid w:val="00087643"/>
    <w:rsid w:val="00090EEF"/>
    <w:rsid w:val="000A6060"/>
    <w:rsid w:val="000A65EA"/>
    <w:rsid w:val="000A6CA8"/>
    <w:rsid w:val="000B7CD5"/>
    <w:rsid w:val="000C6930"/>
    <w:rsid w:val="000D1446"/>
    <w:rsid w:val="000D4A05"/>
    <w:rsid w:val="000D6B3E"/>
    <w:rsid w:val="000D6FB6"/>
    <w:rsid w:val="000E2BF4"/>
    <w:rsid w:val="000F2143"/>
    <w:rsid w:val="000F30FE"/>
    <w:rsid w:val="001000E6"/>
    <w:rsid w:val="001027AB"/>
    <w:rsid w:val="00103156"/>
    <w:rsid w:val="001060FA"/>
    <w:rsid w:val="00114F2A"/>
    <w:rsid w:val="00122BD6"/>
    <w:rsid w:val="0012581E"/>
    <w:rsid w:val="00126B7F"/>
    <w:rsid w:val="00133511"/>
    <w:rsid w:val="00134098"/>
    <w:rsid w:val="00135122"/>
    <w:rsid w:val="00142116"/>
    <w:rsid w:val="00147431"/>
    <w:rsid w:val="00155B8B"/>
    <w:rsid w:val="001732ED"/>
    <w:rsid w:val="00174D89"/>
    <w:rsid w:val="00181936"/>
    <w:rsid w:val="0018277A"/>
    <w:rsid w:val="001864B1"/>
    <w:rsid w:val="001869BC"/>
    <w:rsid w:val="00194CDF"/>
    <w:rsid w:val="00197939"/>
    <w:rsid w:val="001A711E"/>
    <w:rsid w:val="001B4E92"/>
    <w:rsid w:val="001B53C2"/>
    <w:rsid w:val="001C0442"/>
    <w:rsid w:val="001D1139"/>
    <w:rsid w:val="001D4B24"/>
    <w:rsid w:val="001E073E"/>
    <w:rsid w:val="001E5ED6"/>
    <w:rsid w:val="001E722F"/>
    <w:rsid w:val="001F38B8"/>
    <w:rsid w:val="001F4F01"/>
    <w:rsid w:val="001F4FF4"/>
    <w:rsid w:val="00204201"/>
    <w:rsid w:val="002100D5"/>
    <w:rsid w:val="00213186"/>
    <w:rsid w:val="00216868"/>
    <w:rsid w:val="002229A0"/>
    <w:rsid w:val="002241F4"/>
    <w:rsid w:val="00234433"/>
    <w:rsid w:val="002524F4"/>
    <w:rsid w:val="00252BF7"/>
    <w:rsid w:val="00254160"/>
    <w:rsid w:val="00255C4B"/>
    <w:rsid w:val="0026043A"/>
    <w:rsid w:val="00261063"/>
    <w:rsid w:val="00262475"/>
    <w:rsid w:val="00262F99"/>
    <w:rsid w:val="002637DA"/>
    <w:rsid w:val="0026576D"/>
    <w:rsid w:val="00267D8D"/>
    <w:rsid w:val="00270B0F"/>
    <w:rsid w:val="002861D5"/>
    <w:rsid w:val="00296643"/>
    <w:rsid w:val="002A4EFC"/>
    <w:rsid w:val="002C5BF4"/>
    <w:rsid w:val="002C757E"/>
    <w:rsid w:val="002D15AE"/>
    <w:rsid w:val="002D580A"/>
    <w:rsid w:val="002E1552"/>
    <w:rsid w:val="002F14CC"/>
    <w:rsid w:val="002F4A3F"/>
    <w:rsid w:val="002F5BB1"/>
    <w:rsid w:val="002F5E1B"/>
    <w:rsid w:val="002F7090"/>
    <w:rsid w:val="00302649"/>
    <w:rsid w:val="00311803"/>
    <w:rsid w:val="00327B48"/>
    <w:rsid w:val="00331666"/>
    <w:rsid w:val="0033717C"/>
    <w:rsid w:val="003443C0"/>
    <w:rsid w:val="00344890"/>
    <w:rsid w:val="003450F1"/>
    <w:rsid w:val="00346704"/>
    <w:rsid w:val="003640C9"/>
    <w:rsid w:val="00364CCA"/>
    <w:rsid w:val="00370DF3"/>
    <w:rsid w:val="00373031"/>
    <w:rsid w:val="0037704A"/>
    <w:rsid w:val="00380664"/>
    <w:rsid w:val="00383043"/>
    <w:rsid w:val="00383356"/>
    <w:rsid w:val="003937C6"/>
    <w:rsid w:val="003A3E0C"/>
    <w:rsid w:val="003A4B4C"/>
    <w:rsid w:val="003B13B2"/>
    <w:rsid w:val="003B66CC"/>
    <w:rsid w:val="003D2357"/>
    <w:rsid w:val="003D5DCC"/>
    <w:rsid w:val="003D7421"/>
    <w:rsid w:val="003E2F82"/>
    <w:rsid w:val="003E3430"/>
    <w:rsid w:val="003F0B29"/>
    <w:rsid w:val="003F79E4"/>
    <w:rsid w:val="00412F35"/>
    <w:rsid w:val="004142E0"/>
    <w:rsid w:val="00414EF8"/>
    <w:rsid w:val="00421902"/>
    <w:rsid w:val="00426BAD"/>
    <w:rsid w:val="00431EB9"/>
    <w:rsid w:val="004405B9"/>
    <w:rsid w:val="00440B88"/>
    <w:rsid w:val="00451DD4"/>
    <w:rsid w:val="004520CB"/>
    <w:rsid w:val="00460303"/>
    <w:rsid w:val="00463CC7"/>
    <w:rsid w:val="004660FC"/>
    <w:rsid w:val="004728E4"/>
    <w:rsid w:val="00490BF8"/>
    <w:rsid w:val="00494F1F"/>
    <w:rsid w:val="004B2E46"/>
    <w:rsid w:val="004B3FB9"/>
    <w:rsid w:val="004B6F12"/>
    <w:rsid w:val="004C0C7D"/>
    <w:rsid w:val="004C4EF7"/>
    <w:rsid w:val="004C74E9"/>
    <w:rsid w:val="004D18A3"/>
    <w:rsid w:val="004E0676"/>
    <w:rsid w:val="004E44EB"/>
    <w:rsid w:val="00502DFB"/>
    <w:rsid w:val="00505433"/>
    <w:rsid w:val="0050574D"/>
    <w:rsid w:val="0050657F"/>
    <w:rsid w:val="00506EDE"/>
    <w:rsid w:val="0051218D"/>
    <w:rsid w:val="00514D80"/>
    <w:rsid w:val="00517A20"/>
    <w:rsid w:val="0052401D"/>
    <w:rsid w:val="00524CDF"/>
    <w:rsid w:val="00531C66"/>
    <w:rsid w:val="00536735"/>
    <w:rsid w:val="00547E9A"/>
    <w:rsid w:val="0055767D"/>
    <w:rsid w:val="00561274"/>
    <w:rsid w:val="0056189B"/>
    <w:rsid w:val="00564DE8"/>
    <w:rsid w:val="00565AE1"/>
    <w:rsid w:val="005672FF"/>
    <w:rsid w:val="00570735"/>
    <w:rsid w:val="005711CB"/>
    <w:rsid w:val="00572217"/>
    <w:rsid w:val="0057462F"/>
    <w:rsid w:val="005756C8"/>
    <w:rsid w:val="00575C35"/>
    <w:rsid w:val="00585467"/>
    <w:rsid w:val="00586858"/>
    <w:rsid w:val="00593DB4"/>
    <w:rsid w:val="005A29E8"/>
    <w:rsid w:val="005B28D0"/>
    <w:rsid w:val="005C5A34"/>
    <w:rsid w:val="005D3861"/>
    <w:rsid w:val="005E7B38"/>
    <w:rsid w:val="005F2F16"/>
    <w:rsid w:val="0060307C"/>
    <w:rsid w:val="006031C7"/>
    <w:rsid w:val="00612ED1"/>
    <w:rsid w:val="0061440F"/>
    <w:rsid w:val="006208BA"/>
    <w:rsid w:val="00621912"/>
    <w:rsid w:val="0063184A"/>
    <w:rsid w:val="006324EE"/>
    <w:rsid w:val="0063452B"/>
    <w:rsid w:val="00636B5F"/>
    <w:rsid w:val="00637A27"/>
    <w:rsid w:val="00640B66"/>
    <w:rsid w:val="00641745"/>
    <w:rsid w:val="00643419"/>
    <w:rsid w:val="006453D0"/>
    <w:rsid w:val="00651E6E"/>
    <w:rsid w:val="006522DD"/>
    <w:rsid w:val="00654DF3"/>
    <w:rsid w:val="00656867"/>
    <w:rsid w:val="006716C2"/>
    <w:rsid w:val="00672E3F"/>
    <w:rsid w:val="00673C49"/>
    <w:rsid w:val="00683F8B"/>
    <w:rsid w:val="00692C38"/>
    <w:rsid w:val="0069564A"/>
    <w:rsid w:val="006A3EF3"/>
    <w:rsid w:val="006A3FAE"/>
    <w:rsid w:val="006B0842"/>
    <w:rsid w:val="006B2DB4"/>
    <w:rsid w:val="006B3031"/>
    <w:rsid w:val="006C00DB"/>
    <w:rsid w:val="006D3B93"/>
    <w:rsid w:val="006E04D4"/>
    <w:rsid w:val="006E6AB2"/>
    <w:rsid w:val="006F1336"/>
    <w:rsid w:val="006F41C3"/>
    <w:rsid w:val="007024DD"/>
    <w:rsid w:val="007065E6"/>
    <w:rsid w:val="007416F4"/>
    <w:rsid w:val="00746EB5"/>
    <w:rsid w:val="0074757F"/>
    <w:rsid w:val="00752002"/>
    <w:rsid w:val="007553ED"/>
    <w:rsid w:val="0075641C"/>
    <w:rsid w:val="00761860"/>
    <w:rsid w:val="00762A60"/>
    <w:rsid w:val="0076669A"/>
    <w:rsid w:val="00766CC6"/>
    <w:rsid w:val="00774F23"/>
    <w:rsid w:val="00775040"/>
    <w:rsid w:val="00786EDA"/>
    <w:rsid w:val="007920C0"/>
    <w:rsid w:val="007973DF"/>
    <w:rsid w:val="00797E69"/>
    <w:rsid w:val="007A20AC"/>
    <w:rsid w:val="007B5082"/>
    <w:rsid w:val="007C0A02"/>
    <w:rsid w:val="007C4BE7"/>
    <w:rsid w:val="007E0F8E"/>
    <w:rsid w:val="007E17DA"/>
    <w:rsid w:val="007E661D"/>
    <w:rsid w:val="007E6624"/>
    <w:rsid w:val="007F1A34"/>
    <w:rsid w:val="007F209A"/>
    <w:rsid w:val="00804987"/>
    <w:rsid w:val="00811D97"/>
    <w:rsid w:val="00813219"/>
    <w:rsid w:val="0081620E"/>
    <w:rsid w:val="00827CFC"/>
    <w:rsid w:val="00832A63"/>
    <w:rsid w:val="00835800"/>
    <w:rsid w:val="00836871"/>
    <w:rsid w:val="00842873"/>
    <w:rsid w:val="00843510"/>
    <w:rsid w:val="00851E44"/>
    <w:rsid w:val="00871E84"/>
    <w:rsid w:val="00873FB4"/>
    <w:rsid w:val="00876BF9"/>
    <w:rsid w:val="0088032F"/>
    <w:rsid w:val="00885E89"/>
    <w:rsid w:val="00891B27"/>
    <w:rsid w:val="00892E06"/>
    <w:rsid w:val="008A05B4"/>
    <w:rsid w:val="008A1ABB"/>
    <w:rsid w:val="008A2540"/>
    <w:rsid w:val="008B409C"/>
    <w:rsid w:val="008B491B"/>
    <w:rsid w:val="008C10AE"/>
    <w:rsid w:val="008C2A70"/>
    <w:rsid w:val="008C7FB0"/>
    <w:rsid w:val="008D0E93"/>
    <w:rsid w:val="008D12CD"/>
    <w:rsid w:val="008D39EA"/>
    <w:rsid w:val="008F53D2"/>
    <w:rsid w:val="008F6C2C"/>
    <w:rsid w:val="00900675"/>
    <w:rsid w:val="009019EE"/>
    <w:rsid w:val="009029B8"/>
    <w:rsid w:val="009038C9"/>
    <w:rsid w:val="00905434"/>
    <w:rsid w:val="009056A8"/>
    <w:rsid w:val="00907421"/>
    <w:rsid w:val="00910B80"/>
    <w:rsid w:val="009139E2"/>
    <w:rsid w:val="00921225"/>
    <w:rsid w:val="009240E6"/>
    <w:rsid w:val="009242C4"/>
    <w:rsid w:val="0093133C"/>
    <w:rsid w:val="0093338D"/>
    <w:rsid w:val="009509A0"/>
    <w:rsid w:val="0095521F"/>
    <w:rsid w:val="00956A23"/>
    <w:rsid w:val="00957301"/>
    <w:rsid w:val="0096434A"/>
    <w:rsid w:val="009658A0"/>
    <w:rsid w:val="00971DE5"/>
    <w:rsid w:val="00977DEC"/>
    <w:rsid w:val="0098031D"/>
    <w:rsid w:val="00981689"/>
    <w:rsid w:val="00984CB5"/>
    <w:rsid w:val="00996909"/>
    <w:rsid w:val="00997AD7"/>
    <w:rsid w:val="009A3AE1"/>
    <w:rsid w:val="009B6FEB"/>
    <w:rsid w:val="009D17C1"/>
    <w:rsid w:val="009D40E6"/>
    <w:rsid w:val="009E1FC3"/>
    <w:rsid w:val="009E7F67"/>
    <w:rsid w:val="009F0318"/>
    <w:rsid w:val="00A00116"/>
    <w:rsid w:val="00A05CCD"/>
    <w:rsid w:val="00A10382"/>
    <w:rsid w:val="00A11FB4"/>
    <w:rsid w:val="00A128A3"/>
    <w:rsid w:val="00A51A47"/>
    <w:rsid w:val="00A70F66"/>
    <w:rsid w:val="00A73E41"/>
    <w:rsid w:val="00A74A81"/>
    <w:rsid w:val="00A800D2"/>
    <w:rsid w:val="00A83C12"/>
    <w:rsid w:val="00A8594B"/>
    <w:rsid w:val="00A9282B"/>
    <w:rsid w:val="00A934FD"/>
    <w:rsid w:val="00A94552"/>
    <w:rsid w:val="00A97B6B"/>
    <w:rsid w:val="00AA010F"/>
    <w:rsid w:val="00AA234E"/>
    <w:rsid w:val="00AA40DA"/>
    <w:rsid w:val="00AA6A59"/>
    <w:rsid w:val="00AD391B"/>
    <w:rsid w:val="00AE46E6"/>
    <w:rsid w:val="00B221CC"/>
    <w:rsid w:val="00B249E8"/>
    <w:rsid w:val="00B4472F"/>
    <w:rsid w:val="00B50F0F"/>
    <w:rsid w:val="00B65427"/>
    <w:rsid w:val="00B704A2"/>
    <w:rsid w:val="00B75349"/>
    <w:rsid w:val="00B82949"/>
    <w:rsid w:val="00B86414"/>
    <w:rsid w:val="00B9216B"/>
    <w:rsid w:val="00BA748A"/>
    <w:rsid w:val="00BA7D65"/>
    <w:rsid w:val="00BB2A2D"/>
    <w:rsid w:val="00BC29B7"/>
    <w:rsid w:val="00BC49F7"/>
    <w:rsid w:val="00BD1708"/>
    <w:rsid w:val="00BD1ADA"/>
    <w:rsid w:val="00BD46C0"/>
    <w:rsid w:val="00BE0C40"/>
    <w:rsid w:val="00BF2361"/>
    <w:rsid w:val="00BF3D20"/>
    <w:rsid w:val="00C1332B"/>
    <w:rsid w:val="00C15163"/>
    <w:rsid w:val="00C31C6C"/>
    <w:rsid w:val="00C3648C"/>
    <w:rsid w:val="00C45C98"/>
    <w:rsid w:val="00C5485B"/>
    <w:rsid w:val="00C6334A"/>
    <w:rsid w:val="00C74D61"/>
    <w:rsid w:val="00C8125A"/>
    <w:rsid w:val="00C84A65"/>
    <w:rsid w:val="00C90012"/>
    <w:rsid w:val="00CA6A28"/>
    <w:rsid w:val="00CC2010"/>
    <w:rsid w:val="00CC33AA"/>
    <w:rsid w:val="00CC4FA2"/>
    <w:rsid w:val="00CD770A"/>
    <w:rsid w:val="00CE4993"/>
    <w:rsid w:val="00CF5097"/>
    <w:rsid w:val="00CF56D9"/>
    <w:rsid w:val="00D328E2"/>
    <w:rsid w:val="00D3525A"/>
    <w:rsid w:val="00D448FA"/>
    <w:rsid w:val="00D51C2F"/>
    <w:rsid w:val="00D56AF8"/>
    <w:rsid w:val="00D60654"/>
    <w:rsid w:val="00D72BF4"/>
    <w:rsid w:val="00D731A4"/>
    <w:rsid w:val="00D769FE"/>
    <w:rsid w:val="00D7786E"/>
    <w:rsid w:val="00D80EF4"/>
    <w:rsid w:val="00D9074B"/>
    <w:rsid w:val="00DA3D4B"/>
    <w:rsid w:val="00DB2CBC"/>
    <w:rsid w:val="00DB3026"/>
    <w:rsid w:val="00DB54B4"/>
    <w:rsid w:val="00DC1844"/>
    <w:rsid w:val="00DC3823"/>
    <w:rsid w:val="00DC5144"/>
    <w:rsid w:val="00DC75E2"/>
    <w:rsid w:val="00DC7D8D"/>
    <w:rsid w:val="00DE3650"/>
    <w:rsid w:val="00DF107C"/>
    <w:rsid w:val="00DF1AC4"/>
    <w:rsid w:val="00DF2CC6"/>
    <w:rsid w:val="00DF406C"/>
    <w:rsid w:val="00DF6A32"/>
    <w:rsid w:val="00E03A15"/>
    <w:rsid w:val="00E0417C"/>
    <w:rsid w:val="00E05493"/>
    <w:rsid w:val="00E06ACB"/>
    <w:rsid w:val="00E13090"/>
    <w:rsid w:val="00E14F7D"/>
    <w:rsid w:val="00E1578A"/>
    <w:rsid w:val="00E158B8"/>
    <w:rsid w:val="00E4779F"/>
    <w:rsid w:val="00E51642"/>
    <w:rsid w:val="00E673FD"/>
    <w:rsid w:val="00E756C4"/>
    <w:rsid w:val="00E75C6F"/>
    <w:rsid w:val="00E8416E"/>
    <w:rsid w:val="00E85AE4"/>
    <w:rsid w:val="00E90A8B"/>
    <w:rsid w:val="00E97297"/>
    <w:rsid w:val="00EA0B47"/>
    <w:rsid w:val="00EA3B26"/>
    <w:rsid w:val="00EA3F5C"/>
    <w:rsid w:val="00EA4C64"/>
    <w:rsid w:val="00EB3B03"/>
    <w:rsid w:val="00EC06E9"/>
    <w:rsid w:val="00EC41A0"/>
    <w:rsid w:val="00EC79CF"/>
    <w:rsid w:val="00ED2F0E"/>
    <w:rsid w:val="00EE46F9"/>
    <w:rsid w:val="00EE4AF3"/>
    <w:rsid w:val="00EE5463"/>
    <w:rsid w:val="00EF0A56"/>
    <w:rsid w:val="00EF1ED2"/>
    <w:rsid w:val="00F07A13"/>
    <w:rsid w:val="00F16309"/>
    <w:rsid w:val="00F16901"/>
    <w:rsid w:val="00F239A7"/>
    <w:rsid w:val="00F2681D"/>
    <w:rsid w:val="00F34A4E"/>
    <w:rsid w:val="00F759D4"/>
    <w:rsid w:val="00F84CD0"/>
    <w:rsid w:val="00F84EAD"/>
    <w:rsid w:val="00FA16E7"/>
    <w:rsid w:val="00FA2C63"/>
    <w:rsid w:val="00FA2E34"/>
    <w:rsid w:val="00FA3618"/>
    <w:rsid w:val="00FA4AF0"/>
    <w:rsid w:val="00FE36ED"/>
    <w:rsid w:val="00FE6198"/>
    <w:rsid w:val="00FF1079"/>
    <w:rsid w:val="00FF124A"/>
    <w:rsid w:val="00FF5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71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oofdtekst">
    <w:name w:val="Hoofdtekst"/>
    <w:rsid w:val="001A711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Voetnoot">
    <w:name w:val="Voetnoot"/>
    <w:rsid w:val="001A711E"/>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styleId="Hipercze">
    <w:name w:val="Hyperlink"/>
    <w:basedOn w:val="Domylnaczcionkaakapitu"/>
    <w:uiPriority w:val="99"/>
    <w:unhideWhenUsed/>
    <w:rsid w:val="001A711E"/>
    <w:rPr>
      <w:color w:val="0563C1" w:themeColor="hyperlink"/>
      <w:u w:val="single"/>
    </w:rPr>
  </w:style>
  <w:style w:type="character" w:styleId="Odwoaniedokomentarza">
    <w:name w:val="annotation reference"/>
    <w:basedOn w:val="Domylnaczcionkaakapitu"/>
    <w:uiPriority w:val="99"/>
    <w:semiHidden/>
    <w:unhideWhenUsed/>
    <w:rsid w:val="001A711E"/>
    <w:rPr>
      <w:sz w:val="18"/>
      <w:szCs w:val="18"/>
    </w:rPr>
  </w:style>
  <w:style w:type="paragraph" w:styleId="Tekstkomentarza">
    <w:name w:val="annotation text"/>
    <w:basedOn w:val="Normalny"/>
    <w:link w:val="TekstkomentarzaZnak"/>
    <w:uiPriority w:val="99"/>
    <w:unhideWhenUsed/>
    <w:rsid w:val="001A71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nl-NL"/>
    </w:rPr>
  </w:style>
  <w:style w:type="character" w:customStyle="1" w:styleId="TekstkomentarzaZnak">
    <w:name w:val="Tekst komentarza Znak"/>
    <w:basedOn w:val="Domylnaczcionkaakapitu"/>
    <w:link w:val="Tekstkomentarza"/>
    <w:uiPriority w:val="99"/>
    <w:rsid w:val="001A711E"/>
    <w:rPr>
      <w:rFonts w:eastAsiaTheme="minorEastAsia"/>
      <w:sz w:val="24"/>
      <w:szCs w:val="24"/>
      <w:lang w:val="en-US" w:eastAsia="nl-NL"/>
    </w:rPr>
  </w:style>
  <w:style w:type="paragraph" w:styleId="Akapitzlist">
    <w:name w:val="List Paragraph"/>
    <w:basedOn w:val="Normalny"/>
    <w:uiPriority w:val="34"/>
    <w:qFormat/>
    <w:rsid w:val="001A711E"/>
    <w:pPr>
      <w:ind w:left="720"/>
      <w:contextualSpacing/>
    </w:pPr>
  </w:style>
  <w:style w:type="paragraph" w:styleId="Stopka">
    <w:name w:val="footer"/>
    <w:basedOn w:val="Normalny"/>
    <w:link w:val="StopkaZnak"/>
    <w:uiPriority w:val="99"/>
    <w:unhideWhenUsed/>
    <w:rsid w:val="001A711E"/>
    <w:pPr>
      <w:tabs>
        <w:tab w:val="center" w:pos="4536"/>
        <w:tab w:val="right" w:pos="9072"/>
      </w:tabs>
    </w:pPr>
  </w:style>
  <w:style w:type="character" w:customStyle="1" w:styleId="StopkaZnak">
    <w:name w:val="Stopka Znak"/>
    <w:basedOn w:val="Domylnaczcionkaakapitu"/>
    <w:link w:val="Stopka"/>
    <w:uiPriority w:val="99"/>
    <w:rsid w:val="001A711E"/>
    <w:rPr>
      <w:rFonts w:ascii="Times New Roman" w:eastAsia="Arial Unicode MS" w:hAnsi="Times New Roman" w:cs="Times New Roman"/>
      <w:sz w:val="24"/>
      <w:szCs w:val="24"/>
      <w:bdr w:val="nil"/>
      <w:lang w:val="en-US"/>
    </w:rPr>
  </w:style>
  <w:style w:type="character" w:styleId="Numerstrony">
    <w:name w:val="page number"/>
    <w:basedOn w:val="Domylnaczcionkaakapitu"/>
    <w:uiPriority w:val="99"/>
    <w:semiHidden/>
    <w:unhideWhenUsed/>
    <w:rsid w:val="001A711E"/>
  </w:style>
  <w:style w:type="paragraph" w:styleId="Tekstprzypisudolnego">
    <w:name w:val="footnote text"/>
    <w:basedOn w:val="Normalny"/>
    <w:link w:val="TekstprzypisudolnegoZnak"/>
    <w:uiPriority w:val="99"/>
    <w:unhideWhenUsed/>
    <w:rsid w:val="001A711E"/>
  </w:style>
  <w:style w:type="character" w:customStyle="1" w:styleId="TekstprzypisudolnegoZnak">
    <w:name w:val="Tekst przypisu dolnego Znak"/>
    <w:basedOn w:val="Domylnaczcionkaakapitu"/>
    <w:link w:val="Tekstprzypisudolnego"/>
    <w:uiPriority w:val="99"/>
    <w:rsid w:val="001A711E"/>
    <w:rPr>
      <w:rFonts w:ascii="Times New Roman" w:eastAsia="Arial Unicode MS" w:hAnsi="Times New Roman" w:cs="Times New Roman"/>
      <w:sz w:val="24"/>
      <w:szCs w:val="24"/>
      <w:bdr w:val="nil"/>
      <w:lang w:val="en-US"/>
    </w:rPr>
  </w:style>
  <w:style w:type="character" w:styleId="Odwoanieprzypisudolnego">
    <w:name w:val="footnote reference"/>
    <w:basedOn w:val="Domylnaczcionkaakapitu"/>
    <w:uiPriority w:val="99"/>
    <w:unhideWhenUsed/>
    <w:rsid w:val="001A711E"/>
    <w:rPr>
      <w:vertAlign w:val="superscript"/>
    </w:rPr>
  </w:style>
  <w:style w:type="character" w:customStyle="1" w:styleId="hps">
    <w:name w:val="hps"/>
    <w:basedOn w:val="Domylnaczcionkaakapitu"/>
    <w:rsid w:val="001A711E"/>
  </w:style>
  <w:style w:type="character" w:customStyle="1" w:styleId="shorttext">
    <w:name w:val="short_text"/>
    <w:basedOn w:val="Domylnaczcionkaakapitu"/>
    <w:rsid w:val="001A711E"/>
  </w:style>
  <w:style w:type="paragraph" w:styleId="Tekstdymka">
    <w:name w:val="Balloon Text"/>
    <w:basedOn w:val="Normalny"/>
    <w:link w:val="TekstdymkaZnak"/>
    <w:uiPriority w:val="99"/>
    <w:semiHidden/>
    <w:unhideWhenUsed/>
    <w:rsid w:val="001A71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11E"/>
    <w:rPr>
      <w:rFonts w:ascii="Segoe UI" w:eastAsia="Arial Unicode MS" w:hAnsi="Segoe UI" w:cs="Segoe UI"/>
      <w:sz w:val="18"/>
      <w:szCs w:val="18"/>
      <w:bdr w:val="nil"/>
      <w:lang w:val="en-US"/>
    </w:rPr>
  </w:style>
  <w:style w:type="paragraph" w:styleId="Tematkomentarza">
    <w:name w:val="annotation subject"/>
    <w:basedOn w:val="Tekstkomentarza"/>
    <w:next w:val="Tekstkomentarza"/>
    <w:link w:val="TematkomentarzaZnak"/>
    <w:uiPriority w:val="99"/>
    <w:semiHidden/>
    <w:unhideWhenUsed/>
    <w:rsid w:val="00C6334A"/>
    <w:pPr>
      <w:pBdr>
        <w:top w:val="nil"/>
        <w:left w:val="nil"/>
        <w:bottom w:val="nil"/>
        <w:right w:val="nil"/>
        <w:between w:val="nil"/>
        <w:bar w:val="nil"/>
      </w:pBdr>
    </w:pPr>
    <w:rPr>
      <w:rFonts w:ascii="Times New Roman" w:eastAsia="Arial Unicode MS" w:hAnsi="Times New Roman" w:cs="Times New Roman"/>
      <w:b/>
      <w:bCs/>
      <w:sz w:val="20"/>
      <w:szCs w:val="20"/>
      <w:bdr w:val="nil"/>
      <w:lang w:eastAsia="en-US"/>
    </w:rPr>
  </w:style>
  <w:style w:type="character" w:customStyle="1" w:styleId="TematkomentarzaZnak">
    <w:name w:val="Temat komentarza Znak"/>
    <w:basedOn w:val="TekstkomentarzaZnak"/>
    <w:link w:val="Tematkomentarza"/>
    <w:uiPriority w:val="99"/>
    <w:semiHidden/>
    <w:rsid w:val="00C6334A"/>
    <w:rPr>
      <w:rFonts w:ascii="Times New Roman" w:eastAsia="Arial Unicode MS" w:hAnsi="Times New Roman" w:cs="Times New Roman"/>
      <w:b/>
      <w:bCs/>
      <w:sz w:val="20"/>
      <w:szCs w:val="20"/>
      <w:bdr w:val="nil"/>
      <w:lang w:val="en-US" w:eastAsia="nl-NL"/>
    </w:rPr>
  </w:style>
  <w:style w:type="character" w:styleId="UyteHipercze">
    <w:name w:val="FollowedHyperlink"/>
    <w:basedOn w:val="Domylnaczcionkaakapitu"/>
    <w:uiPriority w:val="99"/>
    <w:semiHidden/>
    <w:unhideWhenUsed/>
    <w:rsid w:val="008B409C"/>
    <w:rPr>
      <w:color w:val="954F72" w:themeColor="followedHyperlink"/>
      <w:u w:val="single"/>
    </w:rPr>
  </w:style>
  <w:style w:type="character" w:styleId="Pogrubienie">
    <w:name w:val="Strong"/>
    <w:basedOn w:val="Domylnaczcionkaakapitu"/>
    <w:uiPriority w:val="22"/>
    <w:qFormat/>
    <w:rsid w:val="00006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71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oofdtekst">
    <w:name w:val="Hoofdtekst"/>
    <w:rsid w:val="001A711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customStyle="1" w:styleId="Voetnoot">
    <w:name w:val="Voetnoot"/>
    <w:rsid w:val="001A711E"/>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styleId="Hipercze">
    <w:name w:val="Hyperlink"/>
    <w:basedOn w:val="Domylnaczcionkaakapitu"/>
    <w:uiPriority w:val="99"/>
    <w:unhideWhenUsed/>
    <w:rsid w:val="001A711E"/>
    <w:rPr>
      <w:color w:val="0563C1" w:themeColor="hyperlink"/>
      <w:u w:val="single"/>
    </w:rPr>
  </w:style>
  <w:style w:type="character" w:styleId="Odwoaniedokomentarza">
    <w:name w:val="annotation reference"/>
    <w:basedOn w:val="Domylnaczcionkaakapitu"/>
    <w:uiPriority w:val="99"/>
    <w:semiHidden/>
    <w:unhideWhenUsed/>
    <w:rsid w:val="001A711E"/>
    <w:rPr>
      <w:sz w:val="18"/>
      <w:szCs w:val="18"/>
    </w:rPr>
  </w:style>
  <w:style w:type="paragraph" w:styleId="Tekstkomentarza">
    <w:name w:val="annotation text"/>
    <w:basedOn w:val="Normalny"/>
    <w:link w:val="TekstkomentarzaZnak"/>
    <w:uiPriority w:val="99"/>
    <w:unhideWhenUsed/>
    <w:rsid w:val="001A71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nl-NL"/>
    </w:rPr>
  </w:style>
  <w:style w:type="character" w:customStyle="1" w:styleId="TekstkomentarzaZnak">
    <w:name w:val="Tekst komentarza Znak"/>
    <w:basedOn w:val="Domylnaczcionkaakapitu"/>
    <w:link w:val="Tekstkomentarza"/>
    <w:uiPriority w:val="99"/>
    <w:rsid w:val="001A711E"/>
    <w:rPr>
      <w:rFonts w:eastAsiaTheme="minorEastAsia"/>
      <w:sz w:val="24"/>
      <w:szCs w:val="24"/>
      <w:lang w:val="en-US" w:eastAsia="nl-NL"/>
    </w:rPr>
  </w:style>
  <w:style w:type="paragraph" w:styleId="Akapitzlist">
    <w:name w:val="List Paragraph"/>
    <w:basedOn w:val="Normalny"/>
    <w:uiPriority w:val="34"/>
    <w:qFormat/>
    <w:rsid w:val="001A711E"/>
    <w:pPr>
      <w:ind w:left="720"/>
      <w:contextualSpacing/>
    </w:pPr>
  </w:style>
  <w:style w:type="paragraph" w:styleId="Stopka">
    <w:name w:val="footer"/>
    <w:basedOn w:val="Normalny"/>
    <w:link w:val="StopkaZnak"/>
    <w:uiPriority w:val="99"/>
    <w:unhideWhenUsed/>
    <w:rsid w:val="001A711E"/>
    <w:pPr>
      <w:tabs>
        <w:tab w:val="center" w:pos="4536"/>
        <w:tab w:val="right" w:pos="9072"/>
      </w:tabs>
    </w:pPr>
  </w:style>
  <w:style w:type="character" w:customStyle="1" w:styleId="StopkaZnak">
    <w:name w:val="Stopka Znak"/>
    <w:basedOn w:val="Domylnaczcionkaakapitu"/>
    <w:link w:val="Stopka"/>
    <w:uiPriority w:val="99"/>
    <w:rsid w:val="001A711E"/>
    <w:rPr>
      <w:rFonts w:ascii="Times New Roman" w:eastAsia="Arial Unicode MS" w:hAnsi="Times New Roman" w:cs="Times New Roman"/>
      <w:sz w:val="24"/>
      <w:szCs w:val="24"/>
      <w:bdr w:val="nil"/>
      <w:lang w:val="en-US"/>
    </w:rPr>
  </w:style>
  <w:style w:type="character" w:styleId="Numerstrony">
    <w:name w:val="page number"/>
    <w:basedOn w:val="Domylnaczcionkaakapitu"/>
    <w:uiPriority w:val="99"/>
    <w:semiHidden/>
    <w:unhideWhenUsed/>
    <w:rsid w:val="001A711E"/>
  </w:style>
  <w:style w:type="paragraph" w:styleId="Tekstprzypisudolnego">
    <w:name w:val="footnote text"/>
    <w:basedOn w:val="Normalny"/>
    <w:link w:val="TekstprzypisudolnegoZnak"/>
    <w:uiPriority w:val="99"/>
    <w:unhideWhenUsed/>
    <w:rsid w:val="001A711E"/>
  </w:style>
  <w:style w:type="character" w:customStyle="1" w:styleId="TekstprzypisudolnegoZnak">
    <w:name w:val="Tekst przypisu dolnego Znak"/>
    <w:basedOn w:val="Domylnaczcionkaakapitu"/>
    <w:link w:val="Tekstprzypisudolnego"/>
    <w:uiPriority w:val="99"/>
    <w:rsid w:val="001A711E"/>
    <w:rPr>
      <w:rFonts w:ascii="Times New Roman" w:eastAsia="Arial Unicode MS" w:hAnsi="Times New Roman" w:cs="Times New Roman"/>
      <w:sz w:val="24"/>
      <w:szCs w:val="24"/>
      <w:bdr w:val="nil"/>
      <w:lang w:val="en-US"/>
    </w:rPr>
  </w:style>
  <w:style w:type="character" w:styleId="Odwoanieprzypisudolnego">
    <w:name w:val="footnote reference"/>
    <w:basedOn w:val="Domylnaczcionkaakapitu"/>
    <w:uiPriority w:val="99"/>
    <w:unhideWhenUsed/>
    <w:rsid w:val="001A711E"/>
    <w:rPr>
      <w:vertAlign w:val="superscript"/>
    </w:rPr>
  </w:style>
  <w:style w:type="character" w:customStyle="1" w:styleId="hps">
    <w:name w:val="hps"/>
    <w:basedOn w:val="Domylnaczcionkaakapitu"/>
    <w:rsid w:val="001A711E"/>
  </w:style>
  <w:style w:type="character" w:customStyle="1" w:styleId="shorttext">
    <w:name w:val="short_text"/>
    <w:basedOn w:val="Domylnaczcionkaakapitu"/>
    <w:rsid w:val="001A711E"/>
  </w:style>
  <w:style w:type="paragraph" w:styleId="Tekstdymka">
    <w:name w:val="Balloon Text"/>
    <w:basedOn w:val="Normalny"/>
    <w:link w:val="TekstdymkaZnak"/>
    <w:uiPriority w:val="99"/>
    <w:semiHidden/>
    <w:unhideWhenUsed/>
    <w:rsid w:val="001A71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11E"/>
    <w:rPr>
      <w:rFonts w:ascii="Segoe UI" w:eastAsia="Arial Unicode MS" w:hAnsi="Segoe UI" w:cs="Segoe UI"/>
      <w:sz w:val="18"/>
      <w:szCs w:val="18"/>
      <w:bdr w:val="nil"/>
      <w:lang w:val="en-US"/>
    </w:rPr>
  </w:style>
  <w:style w:type="paragraph" w:styleId="Tematkomentarza">
    <w:name w:val="annotation subject"/>
    <w:basedOn w:val="Tekstkomentarza"/>
    <w:next w:val="Tekstkomentarza"/>
    <w:link w:val="TematkomentarzaZnak"/>
    <w:uiPriority w:val="99"/>
    <w:semiHidden/>
    <w:unhideWhenUsed/>
    <w:rsid w:val="00C6334A"/>
    <w:pPr>
      <w:pBdr>
        <w:top w:val="nil"/>
        <w:left w:val="nil"/>
        <w:bottom w:val="nil"/>
        <w:right w:val="nil"/>
        <w:between w:val="nil"/>
        <w:bar w:val="nil"/>
      </w:pBdr>
    </w:pPr>
    <w:rPr>
      <w:rFonts w:ascii="Times New Roman" w:eastAsia="Arial Unicode MS" w:hAnsi="Times New Roman" w:cs="Times New Roman"/>
      <w:b/>
      <w:bCs/>
      <w:sz w:val="20"/>
      <w:szCs w:val="20"/>
      <w:bdr w:val="nil"/>
      <w:lang w:eastAsia="en-US"/>
    </w:rPr>
  </w:style>
  <w:style w:type="character" w:customStyle="1" w:styleId="TematkomentarzaZnak">
    <w:name w:val="Temat komentarza Znak"/>
    <w:basedOn w:val="TekstkomentarzaZnak"/>
    <w:link w:val="Tematkomentarza"/>
    <w:uiPriority w:val="99"/>
    <w:semiHidden/>
    <w:rsid w:val="00C6334A"/>
    <w:rPr>
      <w:rFonts w:ascii="Times New Roman" w:eastAsia="Arial Unicode MS" w:hAnsi="Times New Roman" w:cs="Times New Roman"/>
      <w:b/>
      <w:bCs/>
      <w:sz w:val="20"/>
      <w:szCs w:val="20"/>
      <w:bdr w:val="nil"/>
      <w:lang w:val="en-US" w:eastAsia="nl-NL"/>
    </w:rPr>
  </w:style>
  <w:style w:type="character" w:styleId="UyteHipercze">
    <w:name w:val="FollowedHyperlink"/>
    <w:basedOn w:val="Domylnaczcionkaakapitu"/>
    <w:uiPriority w:val="99"/>
    <w:semiHidden/>
    <w:unhideWhenUsed/>
    <w:rsid w:val="008B409C"/>
    <w:rPr>
      <w:color w:val="954F72" w:themeColor="followedHyperlink"/>
      <w:u w:val="single"/>
    </w:rPr>
  </w:style>
  <w:style w:type="character" w:styleId="Pogrubienie">
    <w:name w:val="Strong"/>
    <w:basedOn w:val="Domylnaczcionkaakapitu"/>
    <w:uiPriority w:val="22"/>
    <w:qFormat/>
    <w:rsid w:val="00006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610">
      <w:bodyDiv w:val="1"/>
      <w:marLeft w:val="0"/>
      <w:marRight w:val="0"/>
      <w:marTop w:val="0"/>
      <w:marBottom w:val="0"/>
      <w:divBdr>
        <w:top w:val="none" w:sz="0" w:space="0" w:color="auto"/>
        <w:left w:val="none" w:sz="0" w:space="0" w:color="auto"/>
        <w:bottom w:val="none" w:sz="0" w:space="0" w:color="auto"/>
        <w:right w:val="none" w:sz="0" w:space="0" w:color="auto"/>
      </w:divBdr>
    </w:div>
    <w:div w:id="24526271">
      <w:bodyDiv w:val="1"/>
      <w:marLeft w:val="0"/>
      <w:marRight w:val="0"/>
      <w:marTop w:val="0"/>
      <w:marBottom w:val="0"/>
      <w:divBdr>
        <w:top w:val="none" w:sz="0" w:space="0" w:color="auto"/>
        <w:left w:val="none" w:sz="0" w:space="0" w:color="auto"/>
        <w:bottom w:val="none" w:sz="0" w:space="0" w:color="auto"/>
        <w:right w:val="none" w:sz="0" w:space="0" w:color="auto"/>
      </w:divBdr>
    </w:div>
    <w:div w:id="25444991">
      <w:bodyDiv w:val="1"/>
      <w:marLeft w:val="0"/>
      <w:marRight w:val="0"/>
      <w:marTop w:val="0"/>
      <w:marBottom w:val="0"/>
      <w:divBdr>
        <w:top w:val="none" w:sz="0" w:space="0" w:color="auto"/>
        <w:left w:val="none" w:sz="0" w:space="0" w:color="auto"/>
        <w:bottom w:val="none" w:sz="0" w:space="0" w:color="auto"/>
        <w:right w:val="none" w:sz="0" w:space="0" w:color="auto"/>
      </w:divBdr>
    </w:div>
    <w:div w:id="119736118">
      <w:bodyDiv w:val="1"/>
      <w:marLeft w:val="0"/>
      <w:marRight w:val="0"/>
      <w:marTop w:val="0"/>
      <w:marBottom w:val="0"/>
      <w:divBdr>
        <w:top w:val="none" w:sz="0" w:space="0" w:color="auto"/>
        <w:left w:val="none" w:sz="0" w:space="0" w:color="auto"/>
        <w:bottom w:val="none" w:sz="0" w:space="0" w:color="auto"/>
        <w:right w:val="none" w:sz="0" w:space="0" w:color="auto"/>
      </w:divBdr>
    </w:div>
    <w:div w:id="377978847">
      <w:bodyDiv w:val="1"/>
      <w:marLeft w:val="0"/>
      <w:marRight w:val="0"/>
      <w:marTop w:val="0"/>
      <w:marBottom w:val="0"/>
      <w:divBdr>
        <w:top w:val="none" w:sz="0" w:space="0" w:color="auto"/>
        <w:left w:val="none" w:sz="0" w:space="0" w:color="auto"/>
        <w:bottom w:val="none" w:sz="0" w:space="0" w:color="auto"/>
        <w:right w:val="none" w:sz="0" w:space="0" w:color="auto"/>
      </w:divBdr>
    </w:div>
    <w:div w:id="381101915">
      <w:bodyDiv w:val="1"/>
      <w:marLeft w:val="0"/>
      <w:marRight w:val="0"/>
      <w:marTop w:val="0"/>
      <w:marBottom w:val="0"/>
      <w:divBdr>
        <w:top w:val="none" w:sz="0" w:space="0" w:color="auto"/>
        <w:left w:val="none" w:sz="0" w:space="0" w:color="auto"/>
        <w:bottom w:val="none" w:sz="0" w:space="0" w:color="auto"/>
        <w:right w:val="none" w:sz="0" w:space="0" w:color="auto"/>
      </w:divBdr>
    </w:div>
    <w:div w:id="893200739">
      <w:bodyDiv w:val="1"/>
      <w:marLeft w:val="0"/>
      <w:marRight w:val="0"/>
      <w:marTop w:val="0"/>
      <w:marBottom w:val="0"/>
      <w:divBdr>
        <w:top w:val="none" w:sz="0" w:space="0" w:color="auto"/>
        <w:left w:val="none" w:sz="0" w:space="0" w:color="auto"/>
        <w:bottom w:val="none" w:sz="0" w:space="0" w:color="auto"/>
        <w:right w:val="none" w:sz="0" w:space="0" w:color="auto"/>
      </w:divBdr>
    </w:div>
    <w:div w:id="976299989">
      <w:bodyDiv w:val="1"/>
      <w:marLeft w:val="0"/>
      <w:marRight w:val="0"/>
      <w:marTop w:val="0"/>
      <w:marBottom w:val="0"/>
      <w:divBdr>
        <w:top w:val="none" w:sz="0" w:space="0" w:color="auto"/>
        <w:left w:val="none" w:sz="0" w:space="0" w:color="auto"/>
        <w:bottom w:val="none" w:sz="0" w:space="0" w:color="auto"/>
        <w:right w:val="none" w:sz="0" w:space="0" w:color="auto"/>
      </w:divBdr>
    </w:div>
    <w:div w:id="1431048072">
      <w:bodyDiv w:val="1"/>
      <w:marLeft w:val="0"/>
      <w:marRight w:val="0"/>
      <w:marTop w:val="0"/>
      <w:marBottom w:val="0"/>
      <w:divBdr>
        <w:top w:val="none" w:sz="0" w:space="0" w:color="auto"/>
        <w:left w:val="none" w:sz="0" w:space="0" w:color="auto"/>
        <w:bottom w:val="none" w:sz="0" w:space="0" w:color="auto"/>
        <w:right w:val="none" w:sz="0" w:space="0" w:color="auto"/>
      </w:divBdr>
    </w:div>
    <w:div w:id="1447580718">
      <w:bodyDiv w:val="1"/>
      <w:marLeft w:val="0"/>
      <w:marRight w:val="0"/>
      <w:marTop w:val="0"/>
      <w:marBottom w:val="0"/>
      <w:divBdr>
        <w:top w:val="none" w:sz="0" w:space="0" w:color="auto"/>
        <w:left w:val="none" w:sz="0" w:space="0" w:color="auto"/>
        <w:bottom w:val="none" w:sz="0" w:space="0" w:color="auto"/>
        <w:right w:val="none" w:sz="0" w:space="0" w:color="auto"/>
      </w:divBdr>
    </w:div>
    <w:div w:id="1599099194">
      <w:bodyDiv w:val="1"/>
      <w:marLeft w:val="0"/>
      <w:marRight w:val="0"/>
      <w:marTop w:val="0"/>
      <w:marBottom w:val="0"/>
      <w:divBdr>
        <w:top w:val="none" w:sz="0" w:space="0" w:color="auto"/>
        <w:left w:val="none" w:sz="0" w:space="0" w:color="auto"/>
        <w:bottom w:val="none" w:sz="0" w:space="0" w:color="auto"/>
        <w:right w:val="none" w:sz="0" w:space="0" w:color="auto"/>
      </w:divBdr>
    </w:div>
    <w:div w:id="1622154037">
      <w:bodyDiv w:val="1"/>
      <w:marLeft w:val="0"/>
      <w:marRight w:val="0"/>
      <w:marTop w:val="0"/>
      <w:marBottom w:val="0"/>
      <w:divBdr>
        <w:top w:val="none" w:sz="0" w:space="0" w:color="auto"/>
        <w:left w:val="none" w:sz="0" w:space="0" w:color="auto"/>
        <w:bottom w:val="none" w:sz="0" w:space="0" w:color="auto"/>
        <w:right w:val="none" w:sz="0" w:space="0" w:color="auto"/>
      </w:divBdr>
    </w:div>
    <w:div w:id="1772584019">
      <w:bodyDiv w:val="1"/>
      <w:marLeft w:val="0"/>
      <w:marRight w:val="0"/>
      <w:marTop w:val="0"/>
      <w:marBottom w:val="0"/>
      <w:divBdr>
        <w:top w:val="none" w:sz="0" w:space="0" w:color="auto"/>
        <w:left w:val="none" w:sz="0" w:space="0" w:color="auto"/>
        <w:bottom w:val="none" w:sz="0" w:space="0" w:color="auto"/>
        <w:right w:val="none" w:sz="0" w:space="0" w:color="auto"/>
      </w:divBdr>
    </w:div>
    <w:div w:id="1798841374">
      <w:bodyDiv w:val="1"/>
      <w:marLeft w:val="0"/>
      <w:marRight w:val="0"/>
      <w:marTop w:val="0"/>
      <w:marBottom w:val="0"/>
      <w:divBdr>
        <w:top w:val="none" w:sz="0" w:space="0" w:color="auto"/>
        <w:left w:val="none" w:sz="0" w:space="0" w:color="auto"/>
        <w:bottom w:val="none" w:sz="0" w:space="0" w:color="auto"/>
        <w:right w:val="none" w:sz="0" w:space="0" w:color="auto"/>
      </w:divBdr>
    </w:div>
    <w:div w:id="1826584089">
      <w:bodyDiv w:val="1"/>
      <w:marLeft w:val="0"/>
      <w:marRight w:val="0"/>
      <w:marTop w:val="0"/>
      <w:marBottom w:val="0"/>
      <w:divBdr>
        <w:top w:val="none" w:sz="0" w:space="0" w:color="auto"/>
        <w:left w:val="none" w:sz="0" w:space="0" w:color="auto"/>
        <w:bottom w:val="none" w:sz="0" w:space="0" w:color="auto"/>
        <w:right w:val="none" w:sz="0" w:space="0" w:color="auto"/>
      </w:divBdr>
      <w:divsChild>
        <w:div w:id="791706408">
          <w:marLeft w:val="0"/>
          <w:marRight w:val="0"/>
          <w:marTop w:val="0"/>
          <w:marBottom w:val="0"/>
          <w:divBdr>
            <w:top w:val="none" w:sz="0" w:space="0" w:color="auto"/>
            <w:left w:val="none" w:sz="0" w:space="0" w:color="auto"/>
            <w:bottom w:val="none" w:sz="0" w:space="0" w:color="auto"/>
            <w:right w:val="none" w:sz="0" w:space="0" w:color="auto"/>
          </w:divBdr>
        </w:div>
        <w:div w:id="1625386508">
          <w:marLeft w:val="0"/>
          <w:marRight w:val="0"/>
          <w:marTop w:val="0"/>
          <w:marBottom w:val="0"/>
          <w:divBdr>
            <w:top w:val="none" w:sz="0" w:space="0" w:color="auto"/>
            <w:left w:val="none" w:sz="0" w:space="0" w:color="auto"/>
            <w:bottom w:val="none" w:sz="0" w:space="0" w:color="auto"/>
            <w:right w:val="none" w:sz="0" w:space="0" w:color="auto"/>
          </w:divBdr>
        </w:div>
        <w:div w:id="165139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dgs/home-affairs/what-we-do/policies/organized-crime-and-human-trafficking/global-alliance-against-child-abuse/docs/reports-2014/ga_report_2014_-_luxembourg_en.pdfS" TargetMode="External"/><Relationship Id="rId3" Type="http://schemas.openxmlformats.org/officeDocument/2006/relationships/hyperlink" Target="http://www.luxembourg.public.lu/fr/economie/economie-numerique/nouvelles-tech/index.html" TargetMode="External"/><Relationship Id="rId7" Type="http://schemas.openxmlformats.org/officeDocument/2006/relationships/hyperlink" Target="https://stopline.bee-secure.lu/" TargetMode="External"/><Relationship Id="rId2" Type="http://schemas.openxmlformats.org/officeDocument/2006/relationships/hyperlink" Target="https://www.gouvernement.lu/3797584/communications-electroniques" TargetMode="External"/><Relationship Id="rId1" Type="http://schemas.openxmlformats.org/officeDocument/2006/relationships/hyperlink" Target="http://www.luxembourg.public.lu/fr/economie/economie-numerique/nouvelles-tech/index.html" TargetMode="External"/><Relationship Id="rId6" Type="http://schemas.openxmlformats.org/officeDocument/2006/relationships/hyperlink" Target="http://www.inhope.org/gns/home.aspx" TargetMode="External"/><Relationship Id="rId11" Type="http://schemas.openxmlformats.org/officeDocument/2006/relationships/hyperlink" Target="http://www.chd.lu/wps/portal/public/!ut/p/b1/04_SjzQ3NTUzMTQz1I_Qj8pLLMtMTyzJzM9LzAHxo8zijQzcwsLcjNwdg0KNjAwc3U3DgoM8zYwNvEEaIkEKLCyCg9wdfV0tLUOdDDwNnA2DXQOdjAw8jYjTb4ADOBoQ0u_nkZ-bqp8bleNm4aioCABFSVUa/dl4/d5/L0lDU0lKSWdrbUEhIS9JRFJBQUlpQ2dBek15cXchLzRKQ2lEb01OdEJqdEJIZmxDRUEhL1o3XzIwRlZWRjJHQVJVMjIwQUc1VlNSSTYzMFQ3LzA!/?PC_Z7_20FVVF2GARU220AG5VSRI630T7019404_action=doDocpaDetails&amp;id=6675&amp;filter_action=doDocpaDetails&amp;PC_Z7_20FVVF2GARU220AG5VSRI630T7019404_displayLink=true&amp;PC_Z7_20FVVF2GARU220AG5VSRI630T7019404_numPage=1&amp;PC_Z7_20FVVF2GARU220AG5VSRI630T7019404_positionInHistory=&amp;PC_Z7_20FVVF2GARU220AG5VSRI630T7019404_display=13&amp;PC_Z7_20FVVF2GARU220AG5VSRI630T7019404_numPageTop=1&amp;PC_Z7_20FVVF2GARU220AG5VSRI630T7019404_numPageBottom=1" TargetMode="External"/><Relationship Id="rId5" Type="http://schemas.openxmlformats.org/officeDocument/2006/relationships/hyperlink" Target="https://stopline.bee-secure.lu/" TargetMode="External"/><Relationship Id="rId10" Type="http://schemas.openxmlformats.org/officeDocument/2006/relationships/hyperlink" Target="http://www.chd.lu/wps/portal/public/!ut/p/b1/04_SjzQ0NTKzNDEzNTPWj9CPykssy0xPLMnMz0vMAfGjzOKNDNzCwtyM3B2DQo2MDBzdTcOCgzzNjA28DYEKIkEKLCyCg9wdfV0tLUOdDDwNnA2DXQOdjAw8jYjTb4ADOBoQ0u_nkZ-bqp8bleNm4aioCAB4d-91/dl4/d5/L0lDU0lKSWdrbUEhIS9JRFJBQUlpQ2dBek15cXchLzRKQ2lEb01OdEJqdEJIZmxDRUEhL1o3XzIwRlZWRjJHQVJVMjIwQUc1VlNSSTYzMFQ3LzA!/?PC_Z7_20FVVF2GARU220AG5VSRI630T7019404_action=doDocpaDetails&amp;id=6763&amp;filter_action=doDocpaDetails&amp;PC_Z7_20FVVF2GARU220AG5VSRI630T7019404_displayLink=true&amp;PC_Z7_20FVVF2GARU220AG5VSRI630T7019404_numPage=1&amp;PC_Z7_20FVVF2GARU220AG5VSRI630T7019404_positionInHistory=&amp;PC_Z7_20FVVF2GARU220AG5VSRI630T7019404_display=1&amp;PC_Z7_20FVVF2GARU220AG5VSRI630T7019404_EtatDossier=En+cours&amp;PC_Z7_20FVVF2GARU220AG5VSRI630T7019404_TypesDeTri=Numero&amp;PC_Z7_20FVVF2GARU220AG5VSRI630T7019404_SortOrder=DESC&amp;PC_Z7_20FVVF2GARU220AG5VSRI630T7019404_numPageTop=1&amp;PC_Z7_20FVVF2GARU220AG5VSRI630T7019404_numPageBottom=1" TargetMode="External"/><Relationship Id="rId4" Type="http://schemas.openxmlformats.org/officeDocument/2006/relationships/hyperlink" Target="https://www.bee-secure.lu/" TargetMode="External"/><Relationship Id="rId9" Type="http://schemas.openxmlformats.org/officeDocument/2006/relationships/hyperlink" Target="http://www.coe.int/t/dlapil/codexter/Source/cyberterrorism/Luxembou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4300-73F0-4443-A4BF-F6F052D3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9462</Words>
  <Characters>56776</Characters>
  <Application>Microsoft Office Word</Application>
  <DocSecurity>0</DocSecurity>
  <Lines>473</Lines>
  <Paragraphs>132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FRANSSEN</dc:creator>
  <cp:lastModifiedBy>umk</cp:lastModifiedBy>
  <cp:revision>13</cp:revision>
  <cp:lastPrinted>2015-08-07T07:03:00Z</cp:lastPrinted>
  <dcterms:created xsi:type="dcterms:W3CDTF">2015-04-27T11:22:00Z</dcterms:created>
  <dcterms:modified xsi:type="dcterms:W3CDTF">2015-08-07T07:03:00Z</dcterms:modified>
</cp:coreProperties>
</file>